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imes New Roman" w:hAnsi="Times New Roman" w:cs="Times New Roman"/>
          <w:b/>
          <w:bCs/>
          <w:sz w:val="20"/>
          <w:szCs w:val="20"/>
        </w:rPr>
      </w:pPr>
      <w:bookmarkStart w:id="0" w:name="_GoBack"/>
      <w:r w:rsidRPr="00E00A0F">
        <w:rPr>
          <w:rFonts w:ascii="Times New Roman" w:hAnsi="Times New Roman" w:cs="Times New Roman"/>
          <w:b/>
          <w:bCs/>
          <w:sz w:val="20"/>
          <w:szCs w:val="20"/>
        </w:rPr>
        <w:t xml:space="preserve">Załącznik nr 3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E00A0F">
        <w:rPr>
          <w:rFonts w:ascii="Times New Roman" w:hAnsi="Times New Roman" w:cs="Times New Roman"/>
          <w:b/>
          <w:bCs/>
          <w:sz w:val="20"/>
          <w:szCs w:val="20"/>
        </w:rPr>
        <w:t>Wieloletnia Prognoza Finansowa miasta Sieradza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E00A0F">
        <w:rPr>
          <w:rFonts w:ascii="Times New Roman" w:hAnsi="Times New Roman" w:cs="Times New Roman"/>
        </w:rPr>
        <w:t>(objaśnienia)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Aktualnie gospodarkę budżetowa jednostek samorządu terytorialnego szczebla gminnego regulują dwie podstawowe ustawy tj.:</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ustawa z dnia 27 sierpnia 2009 r. o finansach publicznych (tj. Dz. U. 2013 poz. 885 z </w:t>
      </w:r>
      <w:proofErr w:type="spellStart"/>
      <w:r w:rsidRPr="00E00A0F">
        <w:rPr>
          <w:rFonts w:ascii="Times New Roman" w:hAnsi="Times New Roman" w:cs="Times New Roman"/>
          <w:sz w:val="20"/>
          <w:szCs w:val="20"/>
        </w:rPr>
        <w:t>poźn</w:t>
      </w:r>
      <w:proofErr w:type="spellEnd"/>
      <w:r w:rsidRPr="00E00A0F">
        <w:rPr>
          <w:rFonts w:ascii="Times New Roman" w:hAnsi="Times New Roman" w:cs="Times New Roman"/>
          <w:sz w:val="20"/>
          <w:szCs w:val="20"/>
        </w:rPr>
        <w:t>. zm.),</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ustawa z dnia 13 listopada 2003 r. o dochodach jednostek samorządu terytorialnego (Dz. U. z 2010 Nr 80, poz. 526 z póź.zm.)</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jednostek samorządu terytorialnego zależą od wielu czynników, które można podzielić na dwie kategorie:</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czynniki wewnętrzne, na które jednostka ma wpływ,</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czynniki zewnętrzne, na które jednostka nie ma wpływu.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 czynników wewnętrznych należy przede wszystkim polityki finansowa Rady Miejskiej.</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Czynniki zewnętrzne to przede wszystkim regulacje prawne obowiązujące samorządy. Są to między innymi</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ustawa o dochodach jednostek samorządu terytorialnego,</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ustawa o finansach publicznych (w szczególności limity zadłużenia oraz wydatków na obsługę długu),</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lokalne potrzeby społeczne i uwarunkowania gospodarcze regionu.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Istotnym czynnikiem o charakterze zewnętrznym o ogromnym wpływie na finanse Miasta jest ogólna sytuacja gospodarcza kraju.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Prognozując dochody i wydatki na lata 2016-2021 wykorzystano następujące dokumenty: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Wieloletni Plan Finansowy Państwa 2014-2017,</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opracowanie Wieloletnia Prognoza Finansowa Jednostki Samorządu Terytorialnego – metodyka opracowania,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  wytyczne dotyczące założeń makroekonomicznych na potrzeby wieloletnich prognoz finansowych jednostek samorządu terytorialnego.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Dochody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Według ustawy o dochodach jednostek samorządu terytorialnego (zgodnie z art. 4 i art. 7) źródłami dochodów Miasta są:</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dochody własne,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subwencja ogólna,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dotacja celowa z budżetu państwa.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Źródłami dochodów własnych Miasta są:</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Wpływy z podatków:</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nieruchomości,</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rolnego,</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leśnego,</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 xml:space="preserve">od środków transportowych, </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dochodowego od osób fizycznych opłacanego w formie karty podatkowej,</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spadków i darowizn,</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czynności cywilnoprawnych;</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Wpływy z opłat:</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skarbowej,</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targowej,</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miejscowej,</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eksploatacyjnej - w części określonej w ustawie z dnia 4 lutego 1994 r. - Prawo geologiczne i górnicze,</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innych stanowiących dochody gminy uiszczanych na podstawie odrębnych przepisów;</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Dochody z majątku gminy;</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Spadki, zapisy i darowizny na rzecz gminy;</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Dochody z kar pieniężnych i grzywien określonych w odrębnych przepisach;</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5 % dochodów uzyskiwanych na rzecz budżetu państwa w związku z realizacją zadań z zakresu administracji rządowej oraz innych zadań zleconych ustawami, o ile odrębne przepisy nie stanowią inaczej;</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Odsetki od pożyczek udzielanych przez gminę, o ile odrębne przepisy nie stanowią inaczej;</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Odsetki od nieterminowo przekazywanych należności stanowiących dochody gminy;</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lastRenderedPageBreak/>
        <w:t>Odsetki od środków finansowych gromadzonych na rachunkach bankowych gminy, o ile odrębne przepisy nie stanowią inaczej;</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Dotacje z budżetów innych jednostek samorządu terytorialnego;</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Inne dochody należne gminie na podstawie odrębnych przepisów.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13.Udział we wpływach z podatku dochodowego;</w:t>
      </w:r>
    </w:p>
    <w:p w:rsidR="00E00A0F" w:rsidRPr="00E00A0F" w:rsidRDefault="00E00A0F" w:rsidP="00E00A0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osób fizycznych, od podatników tego podatku zamieszkałych na obszarze gminy – do wysokości 39,34 % - w roku 2016 – 37,79 % (corocznie wzrasta),</w:t>
      </w:r>
    </w:p>
    <w:p w:rsidR="00E00A0F" w:rsidRPr="00E00A0F" w:rsidRDefault="00E00A0F" w:rsidP="00E00A0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osób prawnych, od podatników tego podatku, posiadających siedzibę na obszarze gminy - 6,71 %.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14) subwencja ogólna składająca się z części:</w:t>
      </w:r>
    </w:p>
    <w:p w:rsidR="00E00A0F" w:rsidRPr="00E00A0F" w:rsidRDefault="00E00A0F" w:rsidP="00E00A0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E00A0F">
        <w:rPr>
          <w:rFonts w:ascii="Times New Roman" w:hAnsi="Times New Roman" w:cs="Times New Roman"/>
          <w:sz w:val="20"/>
          <w:szCs w:val="20"/>
        </w:rPr>
        <w:t>a)  wyrównawczej (w tym kwota podstawowa i uzupełniająca),</w:t>
      </w:r>
    </w:p>
    <w:p w:rsidR="00E00A0F" w:rsidRPr="00E00A0F" w:rsidRDefault="00E00A0F" w:rsidP="00E00A0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E00A0F">
        <w:rPr>
          <w:rFonts w:ascii="Times New Roman" w:hAnsi="Times New Roman" w:cs="Times New Roman"/>
          <w:sz w:val="20"/>
          <w:szCs w:val="20"/>
        </w:rPr>
        <w:t>b)  równoważącej,</w:t>
      </w:r>
    </w:p>
    <w:p w:rsidR="00E00A0F" w:rsidRPr="00E00A0F" w:rsidRDefault="00E00A0F" w:rsidP="00E00A0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E00A0F">
        <w:rPr>
          <w:rFonts w:ascii="Times New Roman" w:hAnsi="Times New Roman" w:cs="Times New Roman"/>
          <w:sz w:val="20"/>
          <w:szCs w:val="20"/>
        </w:rPr>
        <w:t>c)  oświatowej.</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Dochodami jednostek samorządu terytorialnego mogą być dotacje celowe z budżetu państwa na:</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zadania z zakresu administracji rządowej oraz na inne zadania zlecone ustawami;</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zadania realizowane przez jednostki samorządu terytorialnego na mocy porozumień zawartych z organami administracji rządowej;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finansowanie lub dofinansowanie zadań własnych;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realizacje zadań wynikających z umów międzynarodowych.</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Dochodami jednostek samorządu terytorialnego mogą być środki z funduszy celowych, pozyskiwane na podstawie odrębnych przepisów.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Bazą do prognoz na kolejne lata są wykonane  dochody w 2012, 2013, 2014 i 2015 oraz dochody planowane na rok 2016.</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I tak:</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Podatek od nieruchomości</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 podatków i opłat lokalnych największe znaczenie dla budżetu gmin ma podatek od nieruchomości.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Przedmiotem opodatkowania podatkiem od nieruchomości są grunty, budynki, budowle a także urządzenia budowlane w rozumieniu przepisów prawa budowlanego związane z obiektem budowlanym, które zapewniają użytkowanie obiektu zgodnie z jego przeznaczeniem.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tego tytułu ustalono przyjmując podstawę wykonanie dochodów z tego tytułu w roku  2012, 2013, 2014 i 2015. W roku 2016 nie było zmiany stawek podatku.  Natomiast w kolejnych latach przyjęto stały wzrost o wskaźnik inflacji dla każdego roku objętego prognozą.</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 xml:space="preserve">Podatek od środków transportowych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Obowiązek podatkowy obciąża osoby fizyczne i prawne będące właścicielami wyżej wymienionych środków transportowych.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b/>
          <w:bCs/>
          <w:sz w:val="20"/>
          <w:szCs w:val="20"/>
        </w:rPr>
        <w:t>Podatek od czynności cywilnoprawnych</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Obowiązek zapłaty podatku od czynności cywilnoprawnych wynika z ustawy z dnia 9 września 2000 roku o podatku od czynności cywilnoprawnych (teks jednolity ogłoszony obwieszczeniem Marszałka Sejmu RP z dnia 17 maja 2010 r - Dz. U. nr 101, poz. 649).</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Podatkowi podlegają czynności cywilnoprawne takie jak: umowy sprzedaży, pożyczki, poręczenia, darowizny, umowy majątkowe małżeńskie, ustanowienie hipoteki, umowy spółki, itp. Podatnikami są osoby fizyczne, osoby </w:t>
      </w:r>
      <w:r w:rsidRPr="00E00A0F">
        <w:rPr>
          <w:rFonts w:ascii="Times New Roman" w:hAnsi="Times New Roman" w:cs="Times New Roman"/>
          <w:sz w:val="20"/>
          <w:szCs w:val="20"/>
        </w:rPr>
        <w:lastRenderedPageBreak/>
        <w:t>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podatku od czynności cywilnoprawnych ustalono przyjmując podstawę wykonanie dochodów z tego tytułu  w  roku   2012, 2013, 2014  i  2015 oraz prognozowane dochody na 2016 r. W kolejnych latach stały wzrost o wskaźnik inflacji dla każdego roku objętego prognozą.</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Wpływy z opłaty skarbowej</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Obowiązek zapłaty opłaty skarbowej wynika z ustawy z dnia 16 listopada 2006 roku o opłacie skarbowej (Dz. U z 2006 r., Nr 225, poz. 1635 z późn.zm.).</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Opłacie skarbowej podlegają:</w:t>
      </w:r>
    </w:p>
    <w:p w:rsidR="00E00A0F" w:rsidRPr="00E00A0F" w:rsidRDefault="00E00A0F" w:rsidP="00E00A0F">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sprawach indywidualnych z zakresu administracji publicznej;</w:t>
      </w:r>
    </w:p>
    <w:p w:rsidR="00E00A0F" w:rsidRPr="00E00A0F" w:rsidRDefault="00E00A0F" w:rsidP="00E00A0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E00A0F">
        <w:rPr>
          <w:rFonts w:ascii="Times New Roman" w:hAnsi="Times New Roman" w:cs="Times New Roman"/>
          <w:sz w:val="20"/>
          <w:szCs w:val="20"/>
        </w:rPr>
        <w:t>a) dokonanie czynności urzędowej na podstawie zgłoszenia lub na wniosek,</w:t>
      </w:r>
    </w:p>
    <w:p w:rsidR="00E00A0F" w:rsidRPr="00E00A0F" w:rsidRDefault="00E00A0F" w:rsidP="00E00A0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E00A0F">
        <w:rPr>
          <w:rFonts w:ascii="Times New Roman" w:hAnsi="Times New Roman" w:cs="Times New Roman"/>
          <w:sz w:val="20"/>
          <w:szCs w:val="20"/>
        </w:rPr>
        <w:t>b) wydanie zaświadczenia na wniosek,</w:t>
      </w:r>
    </w:p>
    <w:p w:rsidR="00E00A0F" w:rsidRPr="00E00A0F" w:rsidRDefault="00E00A0F" w:rsidP="00E00A0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E00A0F">
        <w:rPr>
          <w:rFonts w:ascii="Times New Roman" w:hAnsi="Times New Roman" w:cs="Times New Roman"/>
          <w:sz w:val="20"/>
          <w:szCs w:val="20"/>
        </w:rPr>
        <w:t>c) wydanie zezwolenia (pozwolenia, koncesji);</w:t>
      </w:r>
    </w:p>
    <w:p w:rsidR="00E00A0F" w:rsidRPr="00E00A0F" w:rsidRDefault="00E00A0F" w:rsidP="00E00A0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E00A0F">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tytułu wpływów z opłaty skarbowej na prognozowane lata przyjęto na poziomie kwoty wykonania za lata 2013,  2014 i  2015 zakładając w kolejnych latach wzrost o wskaźnik inflacji.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Wpływy z opłaty za gospodarowanie odpadami komunalnymi</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Podatek dochodowy od osób fizycznych</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tego tytułu ujmowane są w budżecie na podstawie informacji (prognozy) Ministra Finansów.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Podatek dochodowy od osób prawnych</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tytułu udziałów w podatku dochodowym od osób prawnych na rok 2016 wyszacowano posiłkując się Wieloletnim Planem Finansowym Państwa przyjmując jako podstawę prognozowane dochody budżetu państwa z tego tytułu oraz zakładając w kolejnych latach stały wzrost o szacowany wskaźnik wzrostu PKB.</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Subwencje ogólne z budżetu państwa</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Zgodnie z art. 7 ust. 1 pkt 1 ustawy z dnia 13 listopada 2003 roku o dochodach jednostek samorządu terytorialnego (tekst jednolity Dz. U. z 2010 r. Nr 80, poz. 5126)  subwencja ogólna dla gmin składa się z następujących części:</w:t>
      </w:r>
    </w:p>
    <w:p w:rsidR="00E00A0F" w:rsidRPr="00E00A0F" w:rsidRDefault="00E00A0F" w:rsidP="00E00A0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wyrównawczej,</w:t>
      </w:r>
    </w:p>
    <w:p w:rsidR="00E00A0F" w:rsidRPr="00E00A0F" w:rsidRDefault="00E00A0F" w:rsidP="00E00A0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równoważącej ,</w:t>
      </w:r>
    </w:p>
    <w:p w:rsidR="00E00A0F" w:rsidRDefault="00E00A0F" w:rsidP="00E00A0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oświatowej.</w:t>
      </w:r>
    </w:p>
    <w:p w:rsidR="00E00A0F" w:rsidRPr="00E00A0F" w:rsidRDefault="00E00A0F" w:rsidP="00E00A0F">
      <w:pPr>
        <w:widowControl w:val="0"/>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right="71"/>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lastRenderedPageBreak/>
        <w:t xml:space="preserve">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w:t>
      </w:r>
      <w:proofErr w:type="spellStart"/>
      <w:r w:rsidRPr="00E00A0F">
        <w:rPr>
          <w:rFonts w:ascii="Times New Roman" w:hAnsi="Times New Roman" w:cs="Times New Roman"/>
          <w:sz w:val="20"/>
          <w:szCs w:val="20"/>
        </w:rPr>
        <w:t>odroczeń</w:t>
      </w:r>
      <w:proofErr w:type="spellEnd"/>
      <w:r w:rsidRPr="00E00A0F">
        <w:rPr>
          <w:rFonts w:ascii="Times New Roman" w:hAnsi="Times New Roman" w:cs="Times New Roman"/>
          <w:sz w:val="20"/>
          <w:szCs w:val="20"/>
        </w:rPr>
        <w:t>,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 nie dotyczy).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Dochody z tego tytułu  są niewielkie więc nie mają większego wpływu na wysokość dochodów Miasta.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Ad. c) część oświatowa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opracowaniu przyjęto, iż cześć oświatowa subwencji ogólnej obliczona będzie przy zastosowaniu wskaźnika inflacji.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Pozostałe dochody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2013  poz. 885 ze zmianami).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dotacje celowe otrzymane z budżetu państwa na realizacje zadań bieżących z zakresu administracji 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Według naszych szacunków z tego tytułu winno wpłynąć do budżetu miasta:  2016 – 1 329 012,00 zł, 2017 – 1 605 600,00 zł, 2018 – 1 602 900,00 zł, 2019 – 1 641 510,00 zł, 2020 -1 724 400,00 zł, 2021 – 1 765 200,00 zł.</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lastRenderedPageBreak/>
        <w:t>Dochody ze sprzedaży majątku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Na wpłaty z tytułu odpłatnego nabycia prawa własności nieruchomości składają się:</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sprzedaż mieszkań,</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sprzedaż lokali użytkowych,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sprzedaż gruntów,</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sprzedaż innych obiektów budowlanych,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zwrot wywłaszczonych nieruchomości.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tego tytułu zależą przede wszystkim od:</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posiadanego przez jednostkę mienia,</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koniunktury na rynku,</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atrakcyjności ofert sprzedaży.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utrzymanie na obecnym poziomie dochodów z tytułu sprzedaży mieszkań,</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sukcesywny wzrost dochodów z tytułu sprzedaży nieruchomości.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Dochody z tytułu dotacji oraz środków przeznaczonych na inwestycje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Zostało przyznane dofinansowanie na realizację zadań pn.:</w:t>
      </w:r>
    </w:p>
    <w:p w:rsidR="00E00A0F" w:rsidRPr="00E00A0F" w:rsidRDefault="008104A4"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"Przeciwdział</w:t>
      </w:r>
      <w:r w:rsidR="00E00A0F" w:rsidRPr="00E00A0F">
        <w:rPr>
          <w:rFonts w:ascii="Times New Roman" w:hAnsi="Times New Roman" w:cs="Times New Roman"/>
          <w:sz w:val="20"/>
          <w:szCs w:val="20"/>
        </w:rPr>
        <w:t>anie zagrożeniom środowiska poprzez zakup  samochodu ratowniczo-gaśniczego dla OSP Sieradz" - 323 077,51 zł,</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zakupy sprzętu komputerowego do realizacji zadania "500+" - 18 000,00 zł,</w:t>
      </w:r>
    </w:p>
    <w:p w:rsid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"Budowa sali gimnastycznej wraz z zapleczem oraz łącznikiem do istniejącej Szkoły Podstawowej n</w:t>
      </w:r>
      <w:r w:rsidR="008104A4">
        <w:rPr>
          <w:rFonts w:ascii="Times New Roman" w:hAnsi="Times New Roman" w:cs="Times New Roman"/>
          <w:sz w:val="20"/>
          <w:szCs w:val="20"/>
        </w:rPr>
        <w:t>r 8 w Sieradzu" - 340 000,00 zł,</w:t>
      </w:r>
    </w:p>
    <w:p w:rsidR="008104A4" w:rsidRDefault="008104A4"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„Wykonanie podłączeń budynków z terenu miasta Sieradza do zbiorczego systemu kanalizacyjnego – II edycja” – 213 723,00 zł,</w:t>
      </w:r>
    </w:p>
    <w:p w:rsidR="008104A4" w:rsidRPr="00E00A0F" w:rsidRDefault="008104A4"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377A17">
        <w:rPr>
          <w:rFonts w:ascii="Times New Roman" w:hAnsi="Times New Roman" w:cs="Times New Roman"/>
          <w:sz w:val="20"/>
          <w:szCs w:val="20"/>
        </w:rPr>
        <w:t>„Przeciwdziałanie degradacji środowiska na terenie Nadwarciańskiego Krajobrazu w Sieradzu” – w 2016 r – 278 443,36 zł i w 2017 – 1 757 197,46 zł</w:t>
      </w:r>
      <w:r w:rsidR="001C602A">
        <w:rPr>
          <w:rFonts w:ascii="Times New Roman" w:hAnsi="Times New Roman" w:cs="Times New Roman"/>
          <w:sz w:val="20"/>
          <w:szCs w:val="20"/>
        </w:rPr>
        <w:t>.</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Wydatki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szczególności zadania własne obejmują sprawy:</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ładu przestrzennego, gospodarki nieruchomościami, ochrony środowiska i przyrody oraz gospodarki wodnej,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gminnych dróg, ulic, mostów, placów oraz organizacji ruchu drogowego,</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gospodarki odpadami komunalnymi.</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lokalnego transportu zbiorowego,</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ochrony zdrowia,</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pomocy społecznej, w tym ośrodków i zakładów opiekuńczych,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gminnego budownictwa mieszkaniowego,</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edukacji publicznej,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kultury, w tym bibliotek gminnych i innych placówek upowszechniania kultury,</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kultury fizycznej i turystyki, w tym terenów rekreacyjnych i urządzeń sportowych,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targowisk i hal targowych,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zieleni gminnej i </w:t>
      </w:r>
      <w:proofErr w:type="spellStart"/>
      <w:r w:rsidRPr="00E00A0F">
        <w:rPr>
          <w:rFonts w:ascii="Times New Roman" w:hAnsi="Times New Roman" w:cs="Times New Roman"/>
          <w:sz w:val="20"/>
          <w:szCs w:val="20"/>
        </w:rPr>
        <w:t>zadrzewień</w:t>
      </w:r>
      <w:proofErr w:type="spellEnd"/>
      <w:r w:rsidRPr="00E00A0F">
        <w:rPr>
          <w:rFonts w:ascii="Times New Roman" w:hAnsi="Times New Roman" w:cs="Times New Roman"/>
          <w:sz w:val="20"/>
          <w:szCs w:val="20"/>
        </w:rPr>
        <w:t>,</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cmentarzy gminnych,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porządku publicznego i bezpieczeństwa obywateli oraz ochrony przeciwpożarowej i przeciwpowodziowej,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utrzymania gminnych obiektów i urządzeń użyteczności publicznej oraz obiektów administracyjnych,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polityki prorodzinnej, w tym zapewnienia kobietom w ciąży opieki socjalnej, medycznej i prawnej,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wspierania i upowszechniania idei samorządowej,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promocji gminy,</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współpracy z organizacjami pozarządowymi, ze społecznościami lokalnymi i regionalnymi innych państw.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Ustawy mogą nakładać na gminę obowiązek wykonywania zadań zleconych z zakresu administracji rządowej, a także z zakresu przygotowań i przeprowadzenia wyborów powszechnych oraz referendów. Zadania z zakresu </w:t>
      </w:r>
      <w:r w:rsidRPr="00E00A0F">
        <w:rPr>
          <w:rFonts w:ascii="Times New Roman" w:hAnsi="Times New Roman" w:cs="Times New Roman"/>
          <w:sz w:val="20"/>
          <w:szCs w:val="20"/>
        </w:rPr>
        <w:lastRenderedPageBreak/>
        <w:t>administracji rządowej gmina może wykonywać również na podstawie porozumienia z organami tej administracji. Gmina na wykonanie tych zadań otrzymuje środki finansowe.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zakresie wydatków bieżących na rok 2017 zaprognozowano ich obniżenie i niewielki wzrost od 2017 roku i latach następnych. W roku 2016 i 2017 przewiduje się dalszą  analizę ponoszonych kosztów, a tym samym ich ograniczenie.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Jeronimo </w:t>
      </w:r>
      <w:proofErr w:type="spellStart"/>
      <w:r w:rsidRPr="00E00A0F">
        <w:rPr>
          <w:rFonts w:ascii="Times New Roman" w:hAnsi="Times New Roman" w:cs="Times New Roman"/>
          <w:sz w:val="20"/>
          <w:szCs w:val="20"/>
        </w:rPr>
        <w:t>Martins</w:t>
      </w:r>
      <w:proofErr w:type="spellEnd"/>
      <w:r w:rsidRPr="00E00A0F">
        <w:rPr>
          <w:rFonts w:ascii="Times New Roman" w:hAnsi="Times New Roman" w:cs="Times New Roman"/>
          <w:sz w:val="20"/>
          <w:szCs w:val="20"/>
        </w:rPr>
        <w:t xml:space="preserve"> Dystrybucja S.A. - budowa Centrum Logistycznego "Sieradz").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Informacje o zaciągniętych zobowiązaniach finansowych z tytułu kredytów i pożyczek</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Na podstawie art. 89 ust. 1 ustawy z dnia 27 sierpnia 2009 r. o finansach publicznych (Dz. U. 2013 poz. 885 z </w:t>
      </w:r>
      <w:proofErr w:type="spellStart"/>
      <w:r w:rsidRPr="00E00A0F">
        <w:rPr>
          <w:rFonts w:ascii="Times New Roman" w:hAnsi="Times New Roman" w:cs="Times New Roman"/>
          <w:sz w:val="20"/>
          <w:szCs w:val="20"/>
        </w:rPr>
        <w:t>późn</w:t>
      </w:r>
      <w:proofErr w:type="spellEnd"/>
      <w:r w:rsidRPr="00E00A0F">
        <w:rPr>
          <w:rFonts w:ascii="Times New Roman" w:hAnsi="Times New Roman" w:cs="Times New Roman"/>
          <w:sz w:val="20"/>
          <w:szCs w:val="20"/>
        </w:rPr>
        <w:t>. zm.), jednostki samorządu terytorialnego mogą zaciągać kredyty, pożyczki oraz emitować papiery wartościowe na:</w:t>
      </w:r>
    </w:p>
    <w:p w:rsidR="00E00A0F" w:rsidRPr="00E00A0F" w:rsidRDefault="00E00A0F" w:rsidP="00E00A0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pokrycie występującego w ciągu roku przejściowego deficytu budżetu jednostki samorządu terytorialnego;</w:t>
      </w:r>
    </w:p>
    <w:p w:rsidR="00E00A0F" w:rsidRPr="00E00A0F" w:rsidRDefault="00E00A0F" w:rsidP="00E00A0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finansowanie planowanego deficytu budżetu jednostki samorządu terytorialnego;</w:t>
      </w:r>
    </w:p>
    <w:p w:rsidR="00E00A0F" w:rsidRPr="00E00A0F" w:rsidRDefault="00E00A0F" w:rsidP="00E00A0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spłatę wcześniej zaciągniętych zobowiązań z tytułu emisji papierów wartościowych oraz zaciągniętych pożyczek i kredytów.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Finansowanie takie nie powinno dotyczyć wydatków stałych, związanych z wykonywaniem bieżących zadań samorządu.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Na dzień 31 grudnia 2015 r. Miasto Sieradz było  stroną jednej umowy kredytowej, czterech umów pożyczek oraz  czterech  umów  emisji  obligacji,  których spłata przewidziana jest do roku 2021. W roku 2016 planowana jest emisja obligacji komunalnych na kwotę 6 000 000,00 zł, wykorzystanie wolnych środków z roku 2014  i 2015, a także spłata rat kapitałowych kredytów i pożyczek oraz wykup papierów wartościowych na kwotę 6 331 838,96 zł.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E00A0F">
        <w:rPr>
          <w:rFonts w:ascii="Times New Roman" w:hAnsi="Times New Roman" w:cs="Times New Roman"/>
          <w:color w:val="000000"/>
          <w:sz w:val="20"/>
          <w:szCs w:val="20"/>
          <w:shd w:val="clear" w:color="auto" w:fill="FFFFFF"/>
        </w:rPr>
        <w:t>Zadłużenie na dzień 31.12.2015  roku wynosi 32 230 819,92 zł, co w stosunku do dochodów stanowić 24,39 %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W związku z realizacja projektu współfinansowanego z Funduszu Spójności pn. System wodociągowy i kanalizacyjny w Sieradzu o roku 2008 dokonano poręczenia pożyczki zaciągniętej przez Miejskie Przedsiębiorstwo Wodociągów i Kanalizacji </w:t>
      </w:r>
      <w:proofErr w:type="spellStart"/>
      <w:r w:rsidRPr="00E00A0F">
        <w:rPr>
          <w:rFonts w:ascii="Times New Roman" w:hAnsi="Times New Roman" w:cs="Times New Roman"/>
          <w:sz w:val="20"/>
          <w:szCs w:val="20"/>
        </w:rPr>
        <w:t>Sp</w:t>
      </w:r>
      <w:proofErr w:type="spellEnd"/>
      <w:r w:rsidRPr="00E00A0F">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i dotyczy lat 2011-2026r. W poszczególnych latach przedstawia się następująco:</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E00A0F" w:rsidRPr="00E00A0F">
        <w:tc>
          <w:tcPr>
            <w:tcW w:w="508" w:type="dxa"/>
            <w:tcBorders>
              <w:top w:val="single" w:sz="4" w:space="0" w:color="auto"/>
              <w:left w:val="single" w:sz="4" w:space="0" w:color="auto"/>
              <w:bottom w:val="single" w:sz="4" w:space="0" w:color="auto"/>
              <w:right w:val="single" w:sz="4" w:space="0" w:color="auto"/>
            </w:tcBorders>
            <w:vAlign w:val="center"/>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E00A0F">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E00A0F">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E00A0F">
              <w:rPr>
                <w:rFonts w:ascii="Times New Roman" w:hAnsi="Times New Roman" w:cs="Times New Roman"/>
                <w:sz w:val="20"/>
                <w:szCs w:val="20"/>
              </w:rPr>
              <w:t>Wysokość poręczenia w roku (w  zł)</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2011</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623 794,62</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2012</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2013</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2014</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2015</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2016</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lastRenderedPageBreak/>
              <w:t>10.</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11.</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12.</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13.</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14.</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15.</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16.</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623 795,24</w:t>
            </w:r>
          </w:p>
        </w:tc>
      </w:tr>
      <w:tr w:rsidR="00E00A0F" w:rsidRPr="00E00A0F">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18 713 839,22</w:t>
            </w:r>
          </w:p>
        </w:tc>
      </w:tr>
    </w:tbl>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Pożyczka spłacana jest na bieżąco.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Wydatki z tytułu niewymagalnych poręczeń i gwarancji wykraczające poza okres na który została opracowania wieloletnia prognoza finansowa wynoszą 5 614 152,20 zł </w:t>
      </w:r>
    </w:p>
    <w:p w:rsidR="00E00A0F" w:rsidRPr="00E00A0F" w:rsidRDefault="00E00A0F" w:rsidP="00E00A0F">
      <w:pPr>
        <w:widowControl w:val="0"/>
        <w:autoSpaceDE w:val="0"/>
        <w:autoSpaceDN w:val="0"/>
        <w:adjustRightInd w:val="0"/>
        <w:spacing w:after="0" w:line="240" w:lineRule="auto"/>
        <w:rPr>
          <w:rFonts w:ascii="Times New Roman" w:hAnsi="Times New Roman" w:cs="Times New Roman"/>
          <w:sz w:val="20"/>
          <w:szCs w:val="20"/>
        </w:rPr>
      </w:pPr>
    </w:p>
    <w:bookmarkEnd w:id="0"/>
    <w:p w:rsidR="00061C48" w:rsidRDefault="00061C48"/>
    <w:sectPr w:rsidR="00061C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A0F"/>
    <w:rsid w:val="00061C48"/>
    <w:rsid w:val="001C602A"/>
    <w:rsid w:val="00377A17"/>
    <w:rsid w:val="008104A4"/>
    <w:rsid w:val="00E00A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C60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60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C60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60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7</Pages>
  <Words>3499</Words>
  <Characters>20998</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3</cp:revision>
  <cp:lastPrinted>2016-06-21T08:10:00Z</cp:lastPrinted>
  <dcterms:created xsi:type="dcterms:W3CDTF">2016-05-23T06:39:00Z</dcterms:created>
  <dcterms:modified xsi:type="dcterms:W3CDTF">2016-06-21T08:11:00Z</dcterms:modified>
</cp:coreProperties>
</file>