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0170C7">
        <w:rPr>
          <w:rFonts w:ascii="Times New Roman" w:hAnsi="Times New Roman" w:cs="Times New Roman"/>
          <w:b/>
          <w:bCs/>
          <w:sz w:val="20"/>
          <w:szCs w:val="20"/>
        </w:rPr>
        <w:t xml:space="preserve">Załącznik nr 3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0170C7">
        <w:rPr>
          <w:rFonts w:ascii="Times New Roman" w:hAnsi="Times New Roman" w:cs="Times New Roman"/>
          <w:b/>
          <w:bCs/>
          <w:sz w:val="20"/>
          <w:szCs w:val="20"/>
        </w:rPr>
        <w:t>Wieloletnia Prognoza Finansowa miasta Sieradza</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0170C7">
        <w:rPr>
          <w:rFonts w:ascii="Times New Roman" w:hAnsi="Times New Roman" w:cs="Times New Roman"/>
        </w:rPr>
        <w:t>(objaśnienia)</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Aktualnie gospodarkę budżetowa jednostek samorządu terytorialnego szczebla gminnego regulują dwie podstawowe ustawy tj.:</w:t>
      </w:r>
    </w:p>
    <w:p w:rsidR="000170C7" w:rsidRPr="000170C7" w:rsidRDefault="000170C7" w:rsidP="000170C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ustawa z dnia 27 sierpnia 2009 r. o finansach publicznych (tj. Dz. U. 2013 poz. 885 z poźn. zm.),</w:t>
      </w:r>
    </w:p>
    <w:p w:rsidR="000170C7" w:rsidRPr="000170C7" w:rsidRDefault="000170C7" w:rsidP="000170C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ustawa z dnia 13 listopada 2003 r. o dochodach jednostek samorządu terytorialnego (Dz. U. z 2016  poz. 198 i 1609)</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Dochody jednostek samorządu terytorialnego zależą od wielu czynników, które można podzielić na dwie kategorie:</w:t>
      </w:r>
    </w:p>
    <w:p w:rsidR="000170C7" w:rsidRPr="000170C7" w:rsidRDefault="000170C7" w:rsidP="000170C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czynniki wewnętrzne, na które jednostka ma wpływ,</w:t>
      </w:r>
    </w:p>
    <w:p w:rsidR="000170C7" w:rsidRPr="000170C7" w:rsidRDefault="000170C7" w:rsidP="000170C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czynniki zewnętrzne, na które jednostka nie ma wpływu.</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 czynników wewnętrznych należy przede wszystkim polityki finansowa Rady Miejskiej.</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Czynniki zewnętrzne to przede wszystkim regulacje prawne obowiązujące samorządy. Są to między innymi</w:t>
      </w:r>
    </w:p>
    <w:p w:rsidR="000170C7" w:rsidRPr="000170C7" w:rsidRDefault="000170C7" w:rsidP="000170C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ustawa o dochodach jednostek samorządu terytorialnego,</w:t>
      </w:r>
    </w:p>
    <w:p w:rsidR="000170C7" w:rsidRPr="000170C7" w:rsidRDefault="000170C7" w:rsidP="000170C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ustawa o finansach publicznych (w szczególności limity zadłużenia oraz wydatków na obsługę długu),</w:t>
      </w:r>
    </w:p>
    <w:p w:rsidR="000170C7" w:rsidRPr="000170C7" w:rsidRDefault="000170C7" w:rsidP="000170C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lokalne potrzeby społeczne i uwarunkowania gospodarcze regionu.</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Istotnym czynnikiem o charakterze zewnętrznym o ogromnym wpływie na finanse Miasta jest ogólna sytuacja gospodarcza kraju.</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Prognozując dochody i wydatki na lata 2017-2021 wykorzystano następujące dokumenty:</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Wieloletni Plan Finansowy Państwa 2016-2019,</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opracowanie Wieloletnia Prognoza Finansowa Jednostki Samorządu Terytorialnego – metodyka opracowania,</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  wytyczne dotyczące założeń makroekonomicznych na potrzeby wieloletnich prognoz finansowych jednostek samorządu terytorialnego.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170C7">
        <w:rPr>
          <w:rFonts w:ascii="Times New Roman" w:hAnsi="Times New Roman" w:cs="Times New Roman"/>
          <w:b/>
          <w:bCs/>
          <w:sz w:val="20"/>
          <w:szCs w:val="20"/>
        </w:rPr>
        <w:t>Dochody</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Według ustawy o dochodach jednostek samorządu terytorialnego (zgodnie z art. 4 i art. 7) źródłami dochodów Miasta są:</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dochody własne,</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subwencja ogólna,</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dotacja celowa z budżetu państwa.</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Źródłami dochodów własnych Miasta są:</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Wpływy z podatków:</w:t>
      </w:r>
    </w:p>
    <w:p w:rsidR="000170C7" w:rsidRPr="000170C7" w:rsidRDefault="000170C7" w:rsidP="000170C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od nieruchomości,</w:t>
      </w:r>
    </w:p>
    <w:p w:rsidR="000170C7" w:rsidRPr="000170C7" w:rsidRDefault="000170C7" w:rsidP="000170C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rolnego,</w:t>
      </w:r>
    </w:p>
    <w:p w:rsidR="000170C7" w:rsidRPr="000170C7" w:rsidRDefault="000170C7" w:rsidP="000170C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leśnego,</w:t>
      </w:r>
    </w:p>
    <w:p w:rsidR="000170C7" w:rsidRPr="000170C7" w:rsidRDefault="000170C7" w:rsidP="000170C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 xml:space="preserve">od środków transportowych, </w:t>
      </w:r>
    </w:p>
    <w:p w:rsidR="000170C7" w:rsidRPr="000170C7" w:rsidRDefault="000170C7" w:rsidP="000170C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dochodowego od osób fizycznych opłacanego w formie karty podatkowej,</w:t>
      </w:r>
    </w:p>
    <w:p w:rsidR="000170C7" w:rsidRPr="000170C7" w:rsidRDefault="000170C7" w:rsidP="000170C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od spadków i darowizn,</w:t>
      </w:r>
    </w:p>
    <w:p w:rsidR="000170C7" w:rsidRPr="000170C7" w:rsidRDefault="000170C7" w:rsidP="000170C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od czynności cywilnoprawnych;</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Wpływy z opłat:</w:t>
      </w:r>
    </w:p>
    <w:p w:rsidR="000170C7" w:rsidRPr="000170C7" w:rsidRDefault="000170C7" w:rsidP="000170C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skarbowej,</w:t>
      </w:r>
    </w:p>
    <w:p w:rsidR="000170C7" w:rsidRPr="000170C7" w:rsidRDefault="000170C7" w:rsidP="000170C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targowej,</w:t>
      </w:r>
    </w:p>
    <w:p w:rsidR="000170C7" w:rsidRPr="000170C7" w:rsidRDefault="000170C7" w:rsidP="000170C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miejscowej,</w:t>
      </w:r>
    </w:p>
    <w:p w:rsidR="000170C7" w:rsidRPr="000170C7" w:rsidRDefault="000170C7" w:rsidP="000170C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eksploatacyjnej - w części określonej w ustawie z dnia 4 lutego 1994 r. - Prawo geologiczne i górnicze,</w:t>
      </w:r>
    </w:p>
    <w:p w:rsidR="000170C7" w:rsidRPr="000170C7" w:rsidRDefault="000170C7" w:rsidP="000170C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innych stanowiących dochody gminy uiszczanych na podstawie odrębnych przepisów;</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Dochody z majątku gminy;</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Spadki, zapisy i darowizny na rzecz gminy;</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Dochody z kar pieniężnych i grzywien określonych w odrębnych przepisach;</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lastRenderedPageBreak/>
        <w:t>5 % dochodów uzyskiwanych na rzecz budżetu państwa w związku z realizacją zadań z zakresu administracji rządowej oraz innych zadań zleconych ustawami, o ile odrębne przepisy nie stanowią inaczej;</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Odsetki od pożyczek udzielanych przez gminę, o ile odrębne przepisy nie stanowią inaczej;</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Odsetki od nieterminowo przekazywanych należności stanowiących dochody gminy;</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Odsetki od środków finansowych gromadzonych na rachunkach bankowych gminy, o ile odrębne przepisy nie stanowią inaczej;</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Dotacje z budżetów innych jednostek samorządu terytorialnego;</w:t>
      </w:r>
    </w:p>
    <w:p w:rsidR="000170C7" w:rsidRPr="000170C7" w:rsidRDefault="000170C7" w:rsidP="000170C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Inne dochody należne gminie na podstawie odrębnych przepisów.</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13.Udział we wpływach z podatku dochodowego;</w:t>
      </w:r>
    </w:p>
    <w:p w:rsidR="000170C7" w:rsidRPr="000170C7" w:rsidRDefault="000170C7" w:rsidP="000170C7">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od osób fizycznych, od podatników tego podatku zamieszkałych na obszarze gminy – do wysokości 39,34 % - w roku 2017 – 37,89 % (corocznie wzrasta),</w:t>
      </w:r>
    </w:p>
    <w:p w:rsidR="000170C7" w:rsidRPr="000170C7" w:rsidRDefault="000170C7" w:rsidP="000170C7">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od osób prawnych, od podatników tego podatku, posiadających siedzibę na obszarze gminy - 6,71 %.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14) subwencja ogólna składająca się z części:</w:t>
      </w:r>
    </w:p>
    <w:p w:rsidR="000170C7" w:rsidRPr="000170C7" w:rsidRDefault="000170C7" w:rsidP="000170C7">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170C7">
        <w:rPr>
          <w:rFonts w:ascii="Times New Roman" w:hAnsi="Times New Roman" w:cs="Times New Roman"/>
          <w:sz w:val="20"/>
          <w:szCs w:val="20"/>
        </w:rPr>
        <w:t>a)  wyrównawczej (w tym kwota podstawowa i uzupełniająca),</w:t>
      </w:r>
    </w:p>
    <w:p w:rsidR="000170C7" w:rsidRPr="000170C7" w:rsidRDefault="000170C7" w:rsidP="000170C7">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170C7">
        <w:rPr>
          <w:rFonts w:ascii="Times New Roman" w:hAnsi="Times New Roman" w:cs="Times New Roman"/>
          <w:sz w:val="20"/>
          <w:szCs w:val="20"/>
        </w:rPr>
        <w:t>b)  równoważącej,</w:t>
      </w:r>
    </w:p>
    <w:p w:rsidR="000170C7" w:rsidRPr="000170C7" w:rsidRDefault="000170C7" w:rsidP="000170C7">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170C7">
        <w:rPr>
          <w:rFonts w:ascii="Times New Roman" w:hAnsi="Times New Roman" w:cs="Times New Roman"/>
          <w:sz w:val="20"/>
          <w:szCs w:val="20"/>
        </w:rPr>
        <w:t>c)  oświatowej.</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Dochodami jednostek samorządu terytorialnego mogą być dotacje celowe z budżetu państwa na:</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zadania z zakresu administracji rządowej oraz na inne zadania zlecone ustawami;</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zadania realizowane przez jednostki samorządu terytorialnego na mocy porozumień zawartych z organami administracji rządowej;</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finansowanie lub dofinansowanie zadań własnych;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realizacje zadań wynikających z umów międzynarodowych.</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Dochodami jednostek samorządu terytorialnego mogą być środki z funduszy celowych, pozyskiwane na podstawie odrębnych przepisów.</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Bazą do prognoz na kolejne lata są wykonane  dochody w 2013, 2014, 2015 i 2016 oraz dochody planowane na rok 2017.</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I tak:</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b/>
          <w:bCs/>
          <w:sz w:val="20"/>
          <w:szCs w:val="20"/>
        </w:rPr>
        <w:t>Podatek od nieruchomości</w:t>
      </w:r>
      <w:r w:rsidRPr="000170C7">
        <w:rPr>
          <w:rFonts w:ascii="Times New Roman" w:hAnsi="Times New Roman" w:cs="Times New Roman"/>
          <w:sz w:val="20"/>
          <w:szCs w:val="20"/>
        </w:rPr>
        <w:t xml:space="preserve">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Z podatków i opłat lokalnych największe znaczenie dla budżetu gmin ma podatek od nieruchomości.</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Przedmiotem opodatkowania podatkiem od nieruchomości są grunty, budynki, budowle związane z prowadzeniem działalności gospodarczej.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Dochody z tego tytułu ustalono przyjmując podstawę wykonanie dochodów z tego tytułu w roku   2013, 2014 , 2015  i 2016. W roku 2017 nie przewiduje się zmiany stawek podatku.  Natomiast w kolejnych latach przyjęto stały wzrost o wskaźnik inflacji dla każdego roku objętego prognozą.</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b/>
          <w:bCs/>
          <w:sz w:val="20"/>
          <w:szCs w:val="20"/>
        </w:rPr>
        <w:t xml:space="preserve">Podatek od środków transportowych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Obowiązek podatkowy obciąża osoby fizyczne i prawne będące właścicielami wyżej wymienionych środków transportowych.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b/>
          <w:bCs/>
          <w:sz w:val="20"/>
          <w:szCs w:val="20"/>
        </w:rPr>
        <w:t>Podatek od czynności cywilnoprawnych</w:t>
      </w:r>
      <w:r w:rsidRPr="000170C7">
        <w:rPr>
          <w:rFonts w:ascii="Times New Roman" w:hAnsi="Times New Roman" w:cs="Times New Roman"/>
          <w:sz w:val="20"/>
          <w:szCs w:val="20"/>
        </w:rPr>
        <w:t xml:space="preserve">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Obowiązek zapłaty podatku od czynności cywilnoprawnych wynika z ustawy z dnia 9 września 2000 roku o podatku od czynności cywilnoprawnych (Dz.U. z 2015 r. poz. 626,1045,1322).</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Podatkowi podlegają czynności cywilnoprawne takie jak: umowy sprzedaży, pożyczki, poręczenia, darowizny, umowy majątkowe małżeńskie, ustanowienie hipoteki, umowy spółki, itp. Podatnikami są osoby fizyczne, osoby 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Dochody  z podatku od czynności cywilnoprawnych ustalono przyjmując podstawę wykonanie dochodów z tego tytułu  w  roku  2013, 2014, 2015 i 2016. W kolejnych latach stały wzrost o wskaźnik inflacji dla każdego roku objętego prognozą.</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b/>
          <w:bCs/>
          <w:sz w:val="20"/>
          <w:szCs w:val="20"/>
        </w:rPr>
        <w:t>Wpływy z opłaty skarbowej</w:t>
      </w:r>
      <w:r w:rsidRPr="000170C7">
        <w:rPr>
          <w:rFonts w:ascii="Times New Roman" w:hAnsi="Times New Roman" w:cs="Times New Roman"/>
          <w:sz w:val="20"/>
          <w:szCs w:val="20"/>
        </w:rPr>
        <w:t xml:space="preserve">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Obowiązek zapłaty opłaty skarbowej wynika z ustawy z dnia 16 listopada 2006 roku o opłacie skarbowej (Dz. U z 2015 r. poz. 783 z późn.zm.).</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Opłacie skarbowej podlegają:</w:t>
      </w:r>
    </w:p>
    <w:p w:rsidR="000170C7" w:rsidRPr="000170C7" w:rsidRDefault="000170C7" w:rsidP="000170C7">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 sprawach indywidualnych z zakresu administracji publicznej;</w:t>
      </w:r>
    </w:p>
    <w:p w:rsidR="000170C7" w:rsidRPr="000170C7" w:rsidRDefault="000170C7" w:rsidP="000170C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170C7">
        <w:rPr>
          <w:rFonts w:ascii="Times New Roman" w:hAnsi="Times New Roman" w:cs="Times New Roman"/>
          <w:sz w:val="20"/>
          <w:szCs w:val="20"/>
        </w:rPr>
        <w:t>a) dokonanie czynności urzędowej na podstawie zgłoszenia lub na wniosek,</w:t>
      </w:r>
    </w:p>
    <w:p w:rsidR="000170C7" w:rsidRPr="000170C7" w:rsidRDefault="000170C7" w:rsidP="000170C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170C7">
        <w:rPr>
          <w:rFonts w:ascii="Times New Roman" w:hAnsi="Times New Roman" w:cs="Times New Roman"/>
          <w:sz w:val="20"/>
          <w:szCs w:val="20"/>
        </w:rPr>
        <w:t>b) wydanie zaświadczenia na wniosek,</w:t>
      </w:r>
    </w:p>
    <w:p w:rsidR="000170C7" w:rsidRPr="000170C7" w:rsidRDefault="000170C7" w:rsidP="000170C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170C7">
        <w:rPr>
          <w:rFonts w:ascii="Times New Roman" w:hAnsi="Times New Roman" w:cs="Times New Roman"/>
          <w:sz w:val="20"/>
          <w:szCs w:val="20"/>
        </w:rPr>
        <w:t>c) wydanie zezwolenia (pozwolenia, koncesji);</w:t>
      </w:r>
    </w:p>
    <w:p w:rsidR="000170C7" w:rsidRPr="000170C7" w:rsidRDefault="000170C7" w:rsidP="000170C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170C7">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Dochody z tytułu wpływów z opłaty skarbowej na prognozowane lata przyjęto na poziomie kwoty wykonania za lata 2013,  2014, 2015 i 2016  zakładając w kolejnych latach wzrost o wskaźnik inflacji.</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b/>
          <w:bCs/>
          <w:sz w:val="20"/>
          <w:szCs w:val="20"/>
        </w:rPr>
        <w:t>Wpływy z opłaty za gospodarowanie odpadami komunalnymi</w:t>
      </w:r>
      <w:r w:rsidRPr="000170C7">
        <w:rPr>
          <w:rFonts w:ascii="Times New Roman" w:hAnsi="Times New Roman" w:cs="Times New Roman"/>
          <w:sz w:val="20"/>
          <w:szCs w:val="20"/>
        </w:rPr>
        <w:t xml:space="preserve">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b/>
          <w:bCs/>
          <w:sz w:val="20"/>
          <w:szCs w:val="20"/>
        </w:rPr>
        <w:t>Podatek dochodowy od osób fizycznych</w:t>
      </w:r>
      <w:r w:rsidRPr="000170C7">
        <w:rPr>
          <w:rFonts w:ascii="Times New Roman" w:hAnsi="Times New Roman" w:cs="Times New Roman"/>
          <w:sz w:val="20"/>
          <w:szCs w:val="20"/>
        </w:rPr>
        <w:t xml:space="preserve">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Dochody z tego tytułu ujmowane są w budżecie na podstawie informacji (prognozy) Ministra Finansów.</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b/>
          <w:bCs/>
          <w:sz w:val="20"/>
          <w:szCs w:val="20"/>
        </w:rPr>
        <w:t>Podatek dochodowy od osób prawnych</w:t>
      </w:r>
      <w:r w:rsidRPr="000170C7">
        <w:rPr>
          <w:rFonts w:ascii="Times New Roman" w:hAnsi="Times New Roman" w:cs="Times New Roman"/>
          <w:sz w:val="20"/>
          <w:szCs w:val="20"/>
        </w:rPr>
        <w:t xml:space="preserve">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Dochody z tytułu udziałów w podatku dochodowym od osób prawnych na rok 2016 wyszacowano posiłkując się Wieloletnim Planem Finansowym Państwa przyjmując jako podstawę prognozowane dochody budżetu państwa z tego tytułu oraz zakładając w kolejnych latach stały wzrost o szacowany wskaźnik wzrostu PKB.</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b/>
          <w:bCs/>
          <w:sz w:val="20"/>
          <w:szCs w:val="20"/>
        </w:rPr>
        <w:lastRenderedPageBreak/>
        <w:t>Subwencje ogólne z budżetu państwa</w:t>
      </w:r>
      <w:r w:rsidRPr="000170C7">
        <w:rPr>
          <w:rFonts w:ascii="Times New Roman" w:hAnsi="Times New Roman" w:cs="Times New Roman"/>
          <w:sz w:val="20"/>
          <w:szCs w:val="20"/>
        </w:rPr>
        <w:t xml:space="preserve">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Zgodnie z art. 7 ust. 1 pkt 1 ustawy z dnia 13 listopada 2003 roku o dochodach jednostek samorządu terytorialnego (Dz. U. z 2016 r. poz. 198 i 1609)  subwencja ogólna dla gmin składa się z następujących części:</w:t>
      </w:r>
    </w:p>
    <w:p w:rsidR="000170C7" w:rsidRPr="000170C7" w:rsidRDefault="000170C7" w:rsidP="000170C7">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wyrównawczej,</w:t>
      </w:r>
    </w:p>
    <w:p w:rsidR="000170C7" w:rsidRPr="000170C7" w:rsidRDefault="000170C7" w:rsidP="000170C7">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równoważącej ,</w:t>
      </w:r>
    </w:p>
    <w:p w:rsidR="000170C7" w:rsidRPr="000170C7" w:rsidRDefault="000170C7" w:rsidP="000170C7">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oświatowej.</w:t>
      </w:r>
    </w:p>
    <w:p w:rsidR="000170C7" w:rsidRPr="000170C7" w:rsidRDefault="000170C7" w:rsidP="000170C7">
      <w:pPr>
        <w:widowControl w:val="0"/>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right="71"/>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odroczeń,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170C7">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Sieradza nie dotyczy).</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Miasto Sieradz nie otrzymuje subwencji równioważącej.</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Ad. c) część oświatowa</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 opracowaniu przyjęto, iż cześć oświatowa subwencji ogólnej obliczona będzie przy zastosowaniu wskaźnika inflacji.</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170C7">
        <w:rPr>
          <w:rFonts w:ascii="Times New Roman" w:hAnsi="Times New Roman" w:cs="Times New Roman"/>
          <w:b/>
          <w:bCs/>
          <w:sz w:val="20"/>
          <w:szCs w:val="20"/>
        </w:rPr>
        <w:t>Pozostałe dochody</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0170C7">
        <w:rPr>
          <w:rFonts w:ascii="Times New Roman" w:hAnsi="Times New Roman" w:cs="Times New Roman"/>
          <w:sz w:val="20"/>
          <w:szCs w:val="20"/>
        </w:rPr>
        <w:t xml:space="preserve">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2013  poz. 885 ze zmianami).</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Dochody z dotacje celowe otrzymane z budżetu państwa na realizacje zadań bieżących z zakresu administracji </w:t>
      </w:r>
      <w:r w:rsidRPr="000170C7">
        <w:rPr>
          <w:rFonts w:ascii="Times New Roman" w:hAnsi="Times New Roman" w:cs="Times New Roman"/>
          <w:sz w:val="20"/>
          <w:szCs w:val="20"/>
        </w:rPr>
        <w:lastRenderedPageBreak/>
        <w:t>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Według naszych szacunków z tego tytułu winno wpłynąć do budżetu miasta:  2017 – 1 894 608,00 zł, 2018 – 1 602 900,00 zł, 2019 – 1 641 510,00 zł, 2020 -1 724 400,00 zł, 2021 – 1 765 200,00 zł.</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Ponadto od roku 2016 otrzymujemy dotację na wykonanie zadania „500+”.</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170C7">
        <w:rPr>
          <w:rFonts w:ascii="Times New Roman" w:hAnsi="Times New Roman" w:cs="Times New Roman"/>
          <w:b/>
          <w:bCs/>
          <w:sz w:val="20"/>
          <w:szCs w:val="20"/>
        </w:rPr>
        <w:t>Dochody ze sprzedaży majątku</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Na wpłaty z tytułu odpłatnego nabycia prawa własności nieruchomości składają się:</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sprzedaż mieszkań,</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sprzedaż lokali użytkowych,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sprzedaż gruntów,</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sprzedaż innych obiektów budowlanych,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zwrot wywłaszczonych nieruchomości.</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Dochody z tego tytułu zależą przede wszystkim od:</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posiadanego przez jednostkę mienia,</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koniunktury na rynku,</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atrakcyjności ofert sprzedaży.</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utrzymanie na obecnym poziomie dochodów z tytułu sprzedaży mieszkań,</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sukcesywny wzrost dochodów z tytułu sprzedaży nieruchomości.</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170C7">
        <w:rPr>
          <w:rFonts w:ascii="Times New Roman" w:hAnsi="Times New Roman" w:cs="Times New Roman"/>
          <w:b/>
          <w:bCs/>
          <w:sz w:val="20"/>
          <w:szCs w:val="20"/>
        </w:rPr>
        <w:t>Dochody z tytułu dotacji oraz innych środków</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Zostało przyznane dofinansowanie na realizację zadań pn.:</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rPr>
        <w:t xml:space="preserve">- </w:t>
      </w:r>
      <w:r w:rsidRPr="000170C7">
        <w:rPr>
          <w:rFonts w:ascii="Times New Roman" w:hAnsi="Times New Roman" w:cs="Times New Roman"/>
          <w:sz w:val="20"/>
          <w:szCs w:val="20"/>
        </w:rPr>
        <w:t>„e-Sieradz. Elektroniczne usługi dla mieszkańców”  w ramach Regionalnego Programu Operacyjnego Województwa Łódzkiego na lata 2014-2020 – w roku 2017 - 583 525,00 zł,  w 2018 – 572 475,00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„Pracuj u siebie” w ramach Regionalnego Programu Operacyjnego Województwa Łódzkiego na lata 2014-2020 –  w roku 2017 - 1 262 940,89 zł, w 2018 = 26 856,00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„Przeciwdziałanie degradacji środowiska na terenie Nadwarciańskiego Obszaru Chronionego Krajobrazu w Sieradzu” w ramach Regionalnego Programu Operacyjnego Województwa Łódzkiego na lata 2014-2020 – w 2017 – 1 471 556,64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 Zagospodarowanie terenów turystyczno-rekreacyjnych na rzeką Wartą w rejonie ulicy Portowej” w ramach Regionalnego Programu Operacyjnego Województwa Łódzkiego na lata 2014-2020 (zadanie „Aktywna Dolina Rzeki Warty”) – w roku 2017 - 1 439 650,80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„Rodzina Razem” w ramach Regionalnego Programu Operacyjnego Województwa Łódzkiego na lata 2014-2020– w roku 2017 – 142 036,73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„Sieradz – wspólna droga do rozwoju – tworzymy plan rewitalizacji” w ramach Regionalnego Programu Operacyjnego Województwa Łódzkiego na lata 2014-2020– w roku 2017 – 105 480,00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„Metoda CLIL w procesie kształcenia a rozwój umiejętności językowych uczniów i kompetencji   zawodowych  nauczycieli” w ramach Europejskiego Funduszu Społecznego - w roku 2017 – 7 419,80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„Równajmy  do  najlepszych” w ramach Europejskiego Funduszu Społecznego  - w roku 2017 – 377 858,27 zł, w roku 2018 – 77 062,87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„Poszerzamy horyzonty” w ramach Europejskiego Funduszu Społecznego  - w roku 2017 – 384 602,39 zł, w roku 2018 – 38 735,00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„Zaprogramuj swoją przyszłość” w ramach Programu Erazmus+ – w roku 2017 - 79 093,20 zł, w roku 2018 – 38 000,00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„Przebudowa oraz zmiana sposobu użytkowania budynku przy ul. Wojska Polskiego 73 w Sieradzu”  z Banku Gospodarstwa Krajowego ze środków Funduszu Dopłat– w roku 2017 - 1 100 000,00 zł,</w:t>
      </w:r>
    </w:p>
    <w:p w:rsidR="000170C7" w:rsidRPr="000170C7" w:rsidRDefault="000170C7" w:rsidP="000170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170C7">
        <w:rPr>
          <w:rFonts w:ascii="Times New Roman" w:hAnsi="Times New Roman" w:cs="Times New Roman"/>
          <w:sz w:val="20"/>
          <w:szCs w:val="20"/>
        </w:rPr>
        <w:t>- „Przebudowa obiektów sportowych wraz z infrastrukturą towarzyszącą na stadionie MOSiR w Sieradzu” w ramach środków Funduszu Rozwoju Kultury Fizycznej –  w roku 2017 - 1 100 000,00 zł.</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170C7">
        <w:rPr>
          <w:rFonts w:ascii="Times New Roman" w:hAnsi="Times New Roman" w:cs="Times New Roman"/>
          <w:b/>
          <w:bCs/>
          <w:sz w:val="20"/>
          <w:szCs w:val="20"/>
        </w:rPr>
        <w:lastRenderedPageBreak/>
        <w:t>Wydatki</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 szczególności zadania własne obejmują sprawy:</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ładu przestrzennego, gospodarki nieruchomościami, ochrony środowiska i przyrody oraz gospodarki wodnej,</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gminnych dróg, ulic, mostów, placów oraz organizacji ruchu drogowego,</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gospodarki odpadami komunalnymi.</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lokalnego transportu zbiorowego,</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ochrony zdrowia,</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pomocy społecznej, w tym ośrodków i zakładów opiekuńczych,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gminnego budownictwa mieszkaniowego,</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edukacji publicznej,</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kultury, w tym bibliotek gminnych i innych placówek upowszechniania kultury,</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kultury fizycznej i turystyki, w tym terenów rekreacyjnych i urządzeń sportowych,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targowisk i hal targowych,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zieleni gminnej i zadrzewień,</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cmentarzy gminnych,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porządku publicznego i bezpieczeństwa obywateli oraz ochrony przeciwpożarowej i przeciwpowodziowej,</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utrzymania gminnych obiektów i urządzeń użyteczności publicznej oraz obiektów administracyjnych,</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polityki prorodzinnej, w tym zapewnienia kobietom w ciąży opieki socjalnej, medycznej i prawnej,</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wspierania i upowszechniania idei samorządowej,</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promocji gminy,</w:t>
      </w:r>
    </w:p>
    <w:p w:rsidR="000170C7" w:rsidRPr="000170C7" w:rsidRDefault="000170C7" w:rsidP="000170C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współpracy z organizacjami pozarządowymi, ze społecznościami lokalnymi i regionalnymi innych państw.</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 zakresie wydatków bieżących na rok 2017 zaprognozowano ich obniżenie i niewielki wzrost od 2018 roku i latach następnych. W roku 2017 i 2018 przewiduje się dalszą  analizę ponoszonych kosztów, a tym samym ich ograniczenie.</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Sp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170C7">
        <w:rPr>
          <w:rFonts w:ascii="Times New Roman" w:hAnsi="Times New Roman" w:cs="Times New Roman"/>
          <w:b/>
          <w:bCs/>
          <w:sz w:val="20"/>
          <w:szCs w:val="20"/>
        </w:rPr>
        <w:t>Informacje o zaciągniętych zobowiązaniach finansowych z tytułu kredytów i pożyczek</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Na podstawie art. 89 ust. 1 ustawy z dnia 27 sierpnia 2009 r. o finansach publicznych (Dz. U. 2013 poz. 885 z późn. zm.), jednostki samorządu terytorialnego mogą zaciągać kredyty, pożyczki oraz emitować papiery wartościowe na:</w:t>
      </w:r>
    </w:p>
    <w:p w:rsidR="000170C7" w:rsidRPr="000170C7" w:rsidRDefault="000170C7" w:rsidP="000170C7">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pokrycie występującego w ciągu roku przejściowego deficytu budżetu jednostki samorządu terytorialnego;</w:t>
      </w:r>
    </w:p>
    <w:p w:rsidR="000170C7" w:rsidRPr="000170C7" w:rsidRDefault="000170C7" w:rsidP="000170C7">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finansowanie planowanego deficytu budżetu jednostki samorządu terytorialnego;</w:t>
      </w:r>
    </w:p>
    <w:p w:rsidR="000170C7" w:rsidRPr="000170C7" w:rsidRDefault="000170C7" w:rsidP="000170C7">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lastRenderedPageBreak/>
        <w:t>spłatę wcześniej zaciągniętych zobowiązań z tytułu emisji papierów wartościowych oraz zaciągniętych pożyczek i kredytów.</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Finansowanie takie nie powinno dotyczyć wydatków stałych, związanych z wykonywaniem bieżących zadań samorządu.</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Na dzień 31 grudnia 2016 r. Miasto Sieradz będzie stroną jednej umowy kredytowej, czterech umów pożyczek oraz  czterech  umów  emisji  obligacji,  których spłata przewidziana jest do roku 2021. W roku 2017 planowana jest emisja obligacji komunalnych na kwotę 9 500 000,00 zł, wykorzystanie wolnych środków z roku 2015, a także spłata rat kapitałowych kredytów i pożyczek oraz wykup papierów wartościowych na kwotę 6 148 565,92 zł.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0170C7">
        <w:rPr>
          <w:rFonts w:ascii="Times New Roman" w:hAnsi="Times New Roman" w:cs="Times New Roman"/>
          <w:color w:val="000000"/>
          <w:sz w:val="20"/>
          <w:szCs w:val="20"/>
          <w:shd w:val="clear" w:color="auto" w:fill="FFFFFF"/>
        </w:rPr>
        <w:t>Zadłużenie na dzień 31.12.2016  roku wynosiło 26 230 819,92 zł, co w stosunku do dochodów stanowić 18,14 %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W związku z realizacja projektu współfinansowanego z Funduszu Spójności pn. System wodociągowy i kanalizacyjny w Sieradzu o roku 2008 dokonano poręczenia pożyczki zaciągniętej przez Miejskie Przedsiębiorstwo Wodociągów i Kanalizacji Sp z o.o. w Sieradzu w Wojewódzkim Funduszu Ochrony Środowiska i Gospodarki Wodnej w Łodzi na dofinansowanie w/w zadania. Łączna kwota poręczenia 18 713 839,22 zł i dotyczy lat 2011-2026r. W poszczególnych latach przedstawia się następująco:</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0170C7" w:rsidRPr="000170C7">
        <w:tc>
          <w:tcPr>
            <w:tcW w:w="508" w:type="dxa"/>
            <w:tcBorders>
              <w:top w:val="single" w:sz="4" w:space="0" w:color="auto"/>
              <w:left w:val="single" w:sz="4" w:space="0" w:color="auto"/>
              <w:bottom w:val="single" w:sz="4" w:space="0" w:color="auto"/>
              <w:right w:val="single" w:sz="4" w:space="0" w:color="auto"/>
            </w:tcBorders>
            <w:vAlign w:val="center"/>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0170C7">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0170C7">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0170C7">
              <w:rPr>
                <w:rFonts w:ascii="Times New Roman" w:hAnsi="Times New Roman" w:cs="Times New Roman"/>
                <w:sz w:val="20"/>
                <w:szCs w:val="20"/>
              </w:rPr>
              <w:t>Wysokość poręczenia w roku (w  zł)</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2011</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170C7">
              <w:rPr>
                <w:rFonts w:ascii="Times New Roman" w:hAnsi="Times New Roman" w:cs="Times New Roman"/>
                <w:sz w:val="20"/>
                <w:szCs w:val="20"/>
              </w:rPr>
              <w:t>623 794,62</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2012</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2013</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2014</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2015</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2016</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11.</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12.</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13.</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14.</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15.</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0170C7">
              <w:rPr>
                <w:rFonts w:ascii="Times New Roman" w:hAnsi="Times New Roman" w:cs="Times New Roman"/>
                <w:sz w:val="20"/>
                <w:szCs w:val="20"/>
              </w:rPr>
              <w:t>1 247 589,24</w:t>
            </w:r>
          </w:p>
        </w:tc>
      </w:tr>
      <w:tr w:rsidR="000170C7" w:rsidRPr="000170C7">
        <w:tc>
          <w:tcPr>
            <w:tcW w:w="508"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16.</w:t>
            </w:r>
          </w:p>
        </w:tc>
        <w:tc>
          <w:tcPr>
            <w:tcW w:w="1540"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170C7">
              <w:rPr>
                <w:rFonts w:ascii="Times New Roman" w:hAnsi="Times New Roman" w:cs="Times New Roman"/>
                <w:sz w:val="20"/>
                <w:szCs w:val="20"/>
              </w:rPr>
              <w:t>623 795,24</w:t>
            </w:r>
          </w:p>
        </w:tc>
      </w:tr>
      <w:tr w:rsidR="000170C7" w:rsidRPr="000170C7">
        <w:trPr>
          <w:gridAfter w:val="1"/>
        </w:trPr>
        <w:tc>
          <w:tcPr>
            <w:tcW w:w="2048" w:type="dxa"/>
            <w:gridSpan w:val="2"/>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170C7">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170C7">
              <w:rPr>
                <w:rFonts w:ascii="Times New Roman" w:hAnsi="Times New Roman" w:cs="Times New Roman"/>
                <w:sz w:val="20"/>
                <w:szCs w:val="20"/>
              </w:rPr>
              <w:t>18 713 839,22</w:t>
            </w:r>
          </w:p>
        </w:tc>
      </w:tr>
    </w:tbl>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Pożyczka spłacana jest na bieżąco.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0170C7">
        <w:rPr>
          <w:rFonts w:ascii="Times New Roman" w:hAnsi="Times New Roman" w:cs="Times New Roman"/>
          <w:sz w:val="20"/>
          <w:szCs w:val="20"/>
        </w:rPr>
        <w:t xml:space="preserve">Wydatki z tytułu niewymagalnych poręczeń i gwarancji wykraczające poza okres na który została opracowania wieloletnia prognoza finansowa wynoszą 5 614 152,20 zł </w:t>
      </w:r>
    </w:p>
    <w:p w:rsidR="000170C7" w:rsidRPr="000170C7" w:rsidRDefault="000170C7" w:rsidP="000170C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rPr>
          <w:rFonts w:ascii="Times New Roman" w:hAnsi="Times New Roman" w:cs="Times New Roman"/>
          <w:sz w:val="20"/>
          <w:szCs w:val="20"/>
        </w:rPr>
      </w:pPr>
    </w:p>
    <w:p w:rsidR="00061C48" w:rsidRDefault="00061C48">
      <w:bookmarkStart w:id="0" w:name="_GoBack"/>
      <w:bookmarkEnd w:id="0"/>
    </w:p>
    <w:sectPr w:rsidR="00061C48" w:rsidSect="00FC4D1A">
      <w:footerReference w:type="default" r:id="rId6"/>
      <w:pgSz w:w="12240" w:h="15840"/>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D1A" w:rsidRDefault="000170C7">
    <w:pPr>
      <w:pStyle w:val="Normal"/>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w:instrText>
    </w:r>
    <w:r>
      <w:rPr>
        <w:rFonts w:ascii="Times New Roman" w:hAnsi="Times New Roman" w:cs="Times New Roman"/>
      </w:rPr>
      <w:fldChar w:fldCharType="separate"/>
    </w:r>
    <w:r>
      <w:rPr>
        <w:rFonts w:ascii="Times New Roman" w:hAnsi="Times New Roman" w:cs="Times New Roman"/>
        <w:noProof/>
      </w:rPr>
      <w:t>7</w:t>
    </w:r>
    <w:r>
      <w:rPr>
        <w:rFonts w:ascii="Times New Roman" w:hAnsi="Times New Roman" w:cs="Times New Roma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0C7"/>
    <w:rsid w:val="000170C7"/>
    <w:rsid w:val="00061C48"/>
    <w:rsid w:val="002A3359"/>
    <w:rsid w:val="004542DF"/>
    <w:rsid w:val="005739ED"/>
    <w:rsid w:val="00603F86"/>
    <w:rsid w:val="00740E2A"/>
    <w:rsid w:val="00753B41"/>
    <w:rsid w:val="00782BB9"/>
    <w:rsid w:val="0083306D"/>
    <w:rsid w:val="008E3EF1"/>
    <w:rsid w:val="00A5242A"/>
    <w:rsid w:val="00EB4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0170C7"/>
    <w:pPr>
      <w:widowControl w:val="0"/>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0170C7"/>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3670</Words>
  <Characters>22021</Characters>
  <Application>Microsoft Office Word</Application>
  <DocSecurity>0</DocSecurity>
  <Lines>183</Lines>
  <Paragraphs>51</Paragraphs>
  <ScaleCrop>false</ScaleCrop>
  <Company/>
  <LinksUpToDate>false</LinksUpToDate>
  <CharactersWithSpaces>25640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2</cp:revision>
  <dcterms:created xsi:type="dcterms:W3CDTF">2017-05-17T11:50:00Z</dcterms:created>
  <dcterms:modified xsi:type="dcterms:W3CDTF">2017-05-17T11:51:00Z</dcterms:modified>
</cp:coreProperties>
</file>