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0859BF">
        <w:rPr>
          <w:rFonts w:ascii="Times New Roman" w:hAnsi="Times New Roman" w:cs="Times New Roman"/>
          <w:b/>
          <w:bCs/>
          <w:sz w:val="20"/>
          <w:szCs w:val="20"/>
        </w:rPr>
        <w:t xml:space="preserve">Załącznik nr 3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0859BF">
        <w:rPr>
          <w:rFonts w:ascii="Times New Roman" w:hAnsi="Times New Roman" w:cs="Times New Roman"/>
          <w:b/>
          <w:bCs/>
          <w:sz w:val="20"/>
          <w:szCs w:val="20"/>
        </w:rPr>
        <w:t>Wieloletnia Prognoza Finansowa miasta Sieradza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0859BF">
        <w:rPr>
          <w:rFonts w:ascii="Times New Roman" w:hAnsi="Times New Roman" w:cs="Times New Roman"/>
        </w:rPr>
        <w:t>(objaśnienia)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Aktualnie gospodarkę budżetowa jednostek samorządu terytorialnego szczebla gminnego regulują dwie podstawowe ustawy tj.:</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z dnia 27 sierpnia 2009 r. o finansach publicznych (tj. Dz. U. 2013 poz. 885 z poźn. zm.),</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z dnia 13 listopada 2003 r. o dochodach jednostek samorządu terytorialnego (Dz. U. z 2016  poz. 198 i 1609)</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jednostek samorządu terytorialnego zależą od wielu czynników, które można podzielić na dwie kategorie:</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wewnętrzne, na które jednostka ma wpływ,</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zewnętrzne, na które jednostka nie ma wpływu.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 czynników wewnętrznych należy przede wszystkim polityki finansowa Rady Miejskiej.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Czynniki zewnętrzne to przede wszystkim regulacje prawne obowiązujące samorządy. Są to między innymi</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o dochodach jednostek samorządu terytorialnego,</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ustawa o finansach publicznych (w szczególności limity zadłużenia oraz wydatków na obsługę długu),</w:t>
      </w:r>
    </w:p>
    <w:p w:rsidR="000859BF" w:rsidRPr="000859BF" w:rsidRDefault="000859BF" w:rsidP="000859BF">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lokalne potrzeby społeczne i uwarunkowania gospodarcze regionu.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Istotnym czynnikiem o charakterze zewnętrznym o ogromnym wpływie na finanse Miasta jest ogólna sytuacja gospodarcza kraju.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Prognozując dochody i wydatki na lata 2017-2021 wykorzystano następujące dokumenty: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Wieloletni Plan Finansowy Państwa 2016-2019,</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opracowanie Wieloletnia Prognoza Finansowa Jednostki Samorządu Terytorialnego – metodyka opracowania,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  wytyczne dotyczące założeń makroekonomicznych na potrzeby wieloletnich prognoz finansowych jednostek samorządu terytorialnego.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Według ustawy o dochodach jednostek samorządu terytorialnego (zgodnie z art. 4 i art. 7) źródłami dochodów Miasta są: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dochody własne,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subwencja ogólna,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dotacja celowa z budżetu państwa.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Miasta mogą być: środki pochodzące ze źródeł zagranicznych niepodlegające zwrotowi, środki pochodzące z budżetu Unii Europejskiej, inne środki określone w odrębnych przepisach.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Źródłami dochodów własnych Miasta są:</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Wpływy z podatków:</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nieruchomości,</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rolnego,</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leśnego,</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 xml:space="preserve">od środków transportowych, </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dochodowego od osób fizycznych opłacanego w formie karty podatkowej,</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spadków i darowizn,</w:t>
      </w:r>
    </w:p>
    <w:p w:rsidR="000859BF" w:rsidRPr="000859BF" w:rsidRDefault="000859BF" w:rsidP="000859BF">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czynności cywilnoprawnych;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Wpływy z opłat:</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skarbowej,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targowej,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miejscowej,</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eksploatacyjnej - w części określonej w ustawie z dnia 4 lutego 1994 r. - Prawo geologiczne i górnicze,</w:t>
      </w:r>
    </w:p>
    <w:p w:rsidR="000859BF" w:rsidRPr="000859BF" w:rsidRDefault="000859BF" w:rsidP="000859BF">
      <w:pPr>
        <w:widowControl w:val="0"/>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innych stanowiących dochody gminy uiszczanych na podstawie odrębnych przepisów;</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uzyskiwane przez gminne jednostki budżetowe gminy oraz wpłaty od gminnych zakładów budżetowych i gospodarstw pomocniczych gminnych jednostek budżetowych;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z majątku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Spadki, zapisy i darowizny na rzecz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Dochody z kar pieniężnych i grzywien określonych w odrębnych przepisach;</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lastRenderedPageBreak/>
        <w:t>5 % dochodów uzyskiwanych na rzecz budżetu państwa w związku z realizacją zadań z zakresu administracji rządowej oraz innych zadań zleconych ustawami,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pożyczek udzielanych przez gminę,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nieterminowo przekazywanych należności stanowiących dochody gminy;</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Odsetki od środków finansowych gromadzonych na rachunkach bankowych gminy, o ile odrębne przepisy nie stanowią inaczej;</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Dotacje z budżetów innych jednostek samorządu terytorialnego;</w:t>
      </w:r>
    </w:p>
    <w:p w:rsidR="000859BF" w:rsidRPr="000859BF" w:rsidRDefault="000859BF" w:rsidP="000859BF">
      <w:pPr>
        <w:widowControl w:val="0"/>
        <w:numPr>
          <w:ilvl w:val="0"/>
          <w:numId w:val="2"/>
        </w:num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Inne dochody należne gminie na podstawie odrębnych przepisów.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13.Udział we wpływach z podatku dochodowego;</w:t>
      </w:r>
    </w:p>
    <w:p w:rsidR="000859BF" w:rsidRPr="000859BF" w:rsidRDefault="000859BF" w:rsidP="000859B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osób fizycznych, od podatników tego podatku zamieszkałych na obszarze gminy – do wysokości 39,34 % - w roku 2017 – 37,89 % (corocznie wzrasta),</w:t>
      </w:r>
    </w:p>
    <w:p w:rsidR="000859BF" w:rsidRPr="000859BF" w:rsidRDefault="000859BF" w:rsidP="000859BF">
      <w:pPr>
        <w:widowControl w:val="0"/>
        <w:numPr>
          <w:ilvl w:val="0"/>
          <w:numId w:val="5"/>
        </w:numPr>
        <w:tabs>
          <w:tab w:val="left" w:pos="732"/>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od osób prawnych, od podatników tego podatku, posiadających siedzibę na obszarze gminy - 6,71 %.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14) subwencja ogólna składająca się z części:</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a)  wyrównawczej (w tym kwota podstawowa i uzupełniająca),</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b)  równoważącej,</w:t>
      </w:r>
    </w:p>
    <w:p w:rsidR="000859BF" w:rsidRPr="000859BF" w:rsidRDefault="000859BF" w:rsidP="000859BF">
      <w:pPr>
        <w:widowControl w:val="0"/>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97"/>
        <w:jc w:val="both"/>
        <w:rPr>
          <w:rFonts w:ascii="Times New Roman" w:hAnsi="Times New Roman" w:cs="Times New Roman"/>
          <w:sz w:val="20"/>
          <w:szCs w:val="20"/>
        </w:rPr>
      </w:pPr>
      <w:r w:rsidRPr="000859BF">
        <w:rPr>
          <w:rFonts w:ascii="Times New Roman" w:hAnsi="Times New Roman" w:cs="Times New Roman"/>
          <w:sz w:val="20"/>
          <w:szCs w:val="20"/>
        </w:rPr>
        <w:t>c)  oświatowej.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jednostek samorządu terytorialnego mogą być dotacje celowe z budżetu państwa na: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zadania z zakresu administracji rządowej oraz na inne zadania zlecone ustawami;</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zadania realizowane przez jednostki samorządu terytorialnego na mocy porozumień zawartych z organami administracji rządowej;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usuwanie bezpośrednich zagrożeń dla bezpieczeństwa i porządku publicznego, skutków powodzi i osuwisk ziemnych oraz skutków innych klęsk żywiołowych;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finansowanie lub dofinansowanie zadań własnych;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realizacje zadań wynikających z umów międzynarodowych.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Dochodami jednostek samorządu terytorialnego mogą być środki z funduszy celowych, pozyskiwane na podstawie odrębnych przepisów.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Bazą do prognoz na kolejne lata są wykonane  dochody w 2013, 2014, 2015 i 2016 oraz dochody planowane na rok 2017.</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I tak:</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od nieruchomości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 podatków i opłat lokalnych największe znaczenie dla budżetu gmin ma podatek od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Podmiotami podatku są osoby fizyczne, prawne oraz jednostki organizacyjne niemające osobowości prawnej, które są właścicielami, posiadaczami lub wieczystymi użytkownikami nieruchomości albo ich części.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Przedmiotem opodatkowania podatkiem od nieruchomości są grunty, budynki, budowle związane z prowadzeniem działalności gospodarczej.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Podatek od nieruchomości ma charakter podatku majątkowego, a podstawę opodatkowania gruntów i budynków stanowi ich powierzchnia bez uwzględnienia ich wartości. Stawki podatku od nieruchomości określa Rada Miasta. Nie mogą one jednakże przekroczyć maksymalnych stawek określonych przez Ministra Finansów.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tego tytułu ustalono przyjmując podstawę wykonanie dochodów z tego tytułu w roku   2013, 2014 , 2015  i 2016. W roku 2017 nie przewiduje się zmiany stawek podatku.  Natomiast w kolejnych latach przyjęto stały wzrost o wskaźnik inflacji dla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 xml:space="preserve">Podatek od środków transportowych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Opodatkowaniu podatkiem od środków transportowych podlegają: samochody ciężarowe o dopuszczalnej masie całkowitej powyżej 3,5 tony, ciągniki siodłowe i balastowe przystosowane do używania łącznie z naczepą lub przyczepą o dopuszczalnej masie całkowitej zespołu pojazdu od 3,5 tony, przyczepy i naczepy, które łącznie z pojazdem silnikowym posiadają dopuszczalną masę całkowitą od 7 ton z wyjątkiem związanych z działalnością rolniczą prowadzoną przez podatnika podatku rolnego oraz autobusy.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Obowiązek podatkowy obciąża osoby fizyczne i prawne będące właścicielami wyżej wymienionych środków transportowych.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b/>
          <w:bCs/>
          <w:sz w:val="20"/>
          <w:szCs w:val="20"/>
        </w:rPr>
        <w:t>Podatek od czynności cywilnoprawnych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zapłaty podatku od czynności cywilnoprawnych wynika z ustawy z dnia 9 września 2000 roku o podatku od czynności cywilnoprawnych (Dz.U. z 2015 r. poz. 626,1045,1322).</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Podatkowi podlegają czynności cywilnoprawne takie jak: umowy sprzedaży, pożyczki, poręczenia, darowizny, umowy majątkowe małżeńskie, ustanowienie hipoteki, umowy spółki, itp. Podatnikami są osoby fizyczne, osoby prawne i jednostki organizacyjne niemające osobowości prawnej, będące stronami czynności cywilnoprawnych. Płatnikami tego podatku są notariusze – od czynności cywilnoprawnych dokonywanych w formie aktu notarialnego realizowany jest przez urzędy skarbowe. Podstawa opodatkowania i stawki podatku określone są odrębnie dla każdej czynności. Maksymalna procentowa stawka podatku wynosi 2%, a kwotowo - 19 zł (art. 6 i 7 ustawy).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podatku od czynności cywilnoprawnych ustalono przyjmując podstawę wykonanie dochodów z tego tytułu  w  roku  2013, 2014, 2015 i 2016. W kolejnych latach stały wzrost o wskaźnik inflacji dla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Wpływy z opłaty skarbowej</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zapłaty opłaty skarbowej wynika z ustawy z dnia 16 listopada 2006 roku o opłacie skarbowej (Dz. U z 2015 r. poz. 783 z późn.zm.).</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Opłacie skarbowej podlegają:</w:t>
      </w:r>
    </w:p>
    <w:p w:rsidR="000859BF" w:rsidRPr="000859BF" w:rsidRDefault="000859BF" w:rsidP="000859BF">
      <w:pPr>
        <w:widowControl w:val="0"/>
        <w:numPr>
          <w:ilvl w:val="0"/>
          <w:numId w:val="7"/>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sprawach indywidualnych z zakresu administracji publicznej;</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a) dokonanie czynności urzędowej na podstawie zgłoszenia lub na wniosek,</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b) wydanie zaświadczenia na wniosek,</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c) wydanie zezwolenia (pozwolenia, koncesji);</w:t>
      </w:r>
    </w:p>
    <w:p w:rsidR="000859BF" w:rsidRPr="000859BF" w:rsidRDefault="000859BF" w:rsidP="000859BF">
      <w:pPr>
        <w:widowControl w:val="0"/>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360"/>
        <w:jc w:val="both"/>
        <w:rPr>
          <w:rFonts w:ascii="Times New Roman" w:hAnsi="Times New Roman" w:cs="Times New Roman"/>
          <w:sz w:val="20"/>
          <w:szCs w:val="20"/>
        </w:rPr>
      </w:pPr>
      <w:r w:rsidRPr="000859BF">
        <w:rPr>
          <w:rFonts w:ascii="Times New Roman" w:hAnsi="Times New Roman" w:cs="Times New Roman"/>
          <w:sz w:val="20"/>
          <w:szCs w:val="20"/>
        </w:rPr>
        <w:t>2) złożenie dokumentu stwierdzającego udzielenie pełnomocnictwa lub prokury albo jego odpisu, wypisu lub kopii – w sprawie z zakresu administracji publicznej lub w postępowaniu sądowym.</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Opłacie skarbowej podlega również dokonanie czynności urzędowej, wydanie zaświadczenia oraz zezwolenia (pozwolenia)  przez podmiot inny niż organ administracji rządowej i samorządowej, w związku z wykonywaniem zadań z zakresu administracji publicznej, a także złożenie w tym przedmiocie dokumentu stwierdzającego udzielenie pełnomocnictwa lub prokury albo jego odpisu, wypisu lub kopii.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Obowiązek uiszczenia opłaty skarbowej ciąży na osobach fizycznych, osobach prawnych i jednostkach organizacyjnych nieposiadających osobowości prawnej, dokonujących wyżej wymienionych czynności lub składających wniosek o wydanie odpowiednich dokumentów.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wpływów z opłaty skarbowej na prognozowane lata przyjęto na poziomie kwoty wykonania za lata 2013,  2014, 2015 i 2016  zakładając w kolejnych latach wzrost o wskaźnik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Wpływy z opłaty za gospodarowanie odpadami komunalnymi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dochodowy od osób fizycznych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tego tytułu ujmowane są w budżecie na podstawie informacji (prognozy) Ministra Finansów.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udziałów w podatku dochodowym od osób fizycznych na lata następne ustalono posiłkując się Wieloletnim Planem Finansowym Państwa przyjmując jako podstawę prognozowane dochody budżetu państwa z tego tytułu oraz zakładając w kolejnych latach stały wzrost o szacowany wskaźnik wzrostu wynagrodzeń osób fizycznych na poziomie 2,5% każdego roku objętego prognozą.</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Podatek dochodowy od osób prawnych</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Zgodnie ustawą o dochodach jednostek samorządu terytorialnego udział Miasta we wpływach z podatku dochodowego od osób prawnych i jednostek organizacyjnych mniemających osobowości prawnej, posiadających siedzibę na terenie Miasta wynosi 6,71%.</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tytułu udziałów w podatku dochodowym od osób prawnych na rok 2016 wyszacowano posiłkując się Wieloletnim Planem Finansowym Państwa przyjmując jako podstawę prognozowane dochody budżetu państwa z tego tytułu oraz zakładając w kolejnych latach stały wzrost o szacowany wskaźnik wzrostu PKB.</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lastRenderedPageBreak/>
        <w:t>Subwencje ogólne z budżetu państwa</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Zgodnie z art. 7 ust. 1 pkt 1 ustawy z dnia 13 listopada 2003 roku o dochodach jednostek samorządu terytorialnego (Dz. U. z 2016 r. poz. 198 i 1609)  subwencja ogólna dla gmin składa się z następujących części:</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wyrównawczej,</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równoważącej ,</w:t>
      </w:r>
    </w:p>
    <w:p w:rsidR="000859BF" w:rsidRPr="000859BF" w:rsidRDefault="000859BF" w:rsidP="000859BF">
      <w:pPr>
        <w:widowControl w:val="0"/>
        <w:numPr>
          <w:ilvl w:val="0"/>
          <w:numId w:val="8"/>
        </w:numPr>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oświatowej.</w:t>
      </w:r>
    </w:p>
    <w:p w:rsidR="000859BF" w:rsidRPr="000859BF" w:rsidRDefault="000859BF" w:rsidP="000859BF">
      <w:pPr>
        <w:widowControl w:val="0"/>
        <w:tabs>
          <w:tab w:val="left" w:pos="71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left="714" w:right="71"/>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Ad. A) część wyrównawcza subwencji ogólnej dla gmin składa się z kwoty podstawowej i kwoty uzupełniającej. Wysokość kwoty podstawowej ustalana jest  w oparciu o dochody podatkowe. Zgodnie z art. 20 ust.3 ustawy o dochodach jednostek samorządu terytorialnego przez dochody podatkowe rozumie się łączne dochody z tytułu: podatku od nieruchomości, podatku rolnego, podatku leśnego, podatku od czynności cywilnoprawnych, podatku od działalności gospodarczej osób fizycznych opłacanego w formie karty podatkowej, wpływów z opłaty skarbowej, wpływów z opłaty eksploatacyjnej, udziału we wpływach z podatku dochodowego od osób fizycznych, udziału we wpływach z podatku dochodowego od osób prawnych. Dla ustalenia części wyrównawczej subwencji ogólnej przyjmuje się dochody, które jednostka samorządu terytorialnego mogłaby uzyskać z podatku rolnego, stosując średnią cenę skupu żyta, a z podatku leśnego - średnią cenę sprzedaży drewna, ogłoszone przez Prezesa GUS, a w przypadku innych podatków, stosując do obliczenia górne granice stawek podatków obowiązujące w danym roku, bez zwolnień, odroczeń, umorzeń oraz zaniechania poboru podatków. Skutki finansowe wynikające z uchwał organów samorządu terytorialnego, określające niższe stawki podatków oraz skutki decyzji, wydawanych przez organy podatkowe nie stanowią podstawy do zwiększenia subwencji ogólnej.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Kwotę podstawową otrzymują gminy, w których dochód podatkowy na 1 mieszkańca jest niższy od 92 % średniego dochodu podatkowego na 1 mieszkańca kraju.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0859BF">
        <w:rPr>
          <w:rFonts w:ascii="Times New Roman" w:hAnsi="Times New Roman" w:cs="Times New Roman"/>
          <w:sz w:val="20"/>
          <w:szCs w:val="20"/>
        </w:rPr>
        <w:t>Kwotę uzupełniającą otrzymują gminy, w której gęstość zaludnienia jest niższa od średniej gęstości zaludnienia w kraju i dochód podatkowy na jednego mieszkańca gminy jest nie wyższy, niż 150 % średniego dochodu podatkowego na 1 mieszkańca kraju (Miasta Sieradza nie dotyczy).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Ad. b) część równoważąca ustala jest w wysokości stanowiącej sumę łącznej kwoty wpłat  gmin określonych art. 29 ustawy o dochodach jednostek samorządu terytorialnego oraz łącznej kwoty uzupełniającej części wyrównawczej subwencji ogólnej. Część równoważąca dzielona jest między gminy w sposób  określony w art. 21 a ustawy o dochodach jednostek samorządu terytorialnego. Miasto Sieradz nie otrzymuje subwencji równioważącej.</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Ad. c) część oświatowa</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Zgodnie z art. 27 i 28 ustawy o dochodach jednostek samorządu terytorialnego, kwota przeznaczona na cześć oświatowa subwencji ogólnej dla wszystkich jednostek samorządu terytorialnego,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opracowaniu przyjęto, iż cześć oświatowa subwencji ogólnej obliczona będzie przy zastosowaniu wskaźnika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Pozostałe dochody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przypadku pozostałych dochodów Miasta Sieradz stanowiących około 10% wartości całkowitych dochodów założono, iż będą one w większości przypadków wzrastać w kolejnych latach zgodnie ze wskaźnikiem inflacji.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0859BF">
        <w:rPr>
          <w:rFonts w:ascii="Times New Roman" w:hAnsi="Times New Roman" w:cs="Times New Roman"/>
          <w:sz w:val="20"/>
          <w:szCs w:val="20"/>
        </w:rPr>
        <w:t xml:space="preserve">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Jednostki samorządu terytorialnego corocznie w terminie do 25 października otrzymują informacje od dysponentów części budżetowych o kwotach dotacji na zadania z zakresu administracji rządowej w myśl art. 143 ust. 1 ustawy z dnia 27 sierpnia 2009 r. o finansach publicznych (Dz. U. 2013  poz. 885 ze zmianami).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Dochody z dotacje celowe otrzymane z budżetu państwa na realizacje zadań bieżących z zakresu administracji </w:t>
      </w:r>
      <w:r w:rsidRPr="000859BF">
        <w:rPr>
          <w:rFonts w:ascii="Times New Roman" w:hAnsi="Times New Roman" w:cs="Times New Roman"/>
          <w:sz w:val="20"/>
          <w:szCs w:val="20"/>
        </w:rPr>
        <w:lastRenderedPageBreak/>
        <w:t>rządowej oraz innych zadań zleconych ustawami gminie (związkom gmin) ustalono przyjmując podstawę prognozy plan na 2014 rok i zakładając uwzględnienie wzrostu w kolejnych latach o wskaźnik inflacji. Od 2014 roku gminom przysługuje dotacja przedszkolna. Wysokość tej dotacji obliczana jest jako iloczyn kwoty rocznej 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Według naszych szacunków z tego tytułu winno wpłynąć do budżetu miasta:  2017 – 1 392 858,00 zł, 2018 – 1 602 900,00 zł, 2019 – 1 641 510,00 zł, 2020 -1 724 400,00 zł, 2021 – 1 765 200,00 zł.</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Ponadto od roku 2016 otrzymujemy dotację na wykonanie zadania „500+”.</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 ze sprzedaży majątku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Na wpłaty z tytułu odpłatnego nabycia prawa własności nieruchomości składają się:</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mieszkań,</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lokali użytkowych,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gruntów,</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sprzedaż innych obiektów budowlanych,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zwrot wywłaszczonych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Dochody z tego tytułu zależą przede wszystkim od:</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posiadanego przez jednostkę mienia,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koniunktury na rynku,</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atrakcyjności ofert sprzedaży.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utrzymanie na obecnym poziomie dochodów z tytułu sprzedaży mieszkań,</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sukcesywny wzrost dochodów z tytułu sprzedaży nieruchomości.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Dochody z tytułu dotacji oraz innych środków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Zostało przyznane dofinansowanie na realizację zadań pn.:</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rPr>
        <w:t xml:space="preserve">- </w:t>
      </w:r>
      <w:r w:rsidRPr="000859BF">
        <w:rPr>
          <w:rFonts w:ascii="Times New Roman" w:hAnsi="Times New Roman" w:cs="Times New Roman"/>
          <w:sz w:val="20"/>
          <w:szCs w:val="20"/>
        </w:rPr>
        <w:t>„e-Sieradz. Elektroniczne usługi dla mieszkańców”  w ramach Regionalnego Programu Operacyjnego Województwa Łódzkiego na lata 2014-2020 – w roku 2017 - 583 525,00 zł,  w 2018 – 572 475,00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„Pracuj u siebie” w ramach Regionalnego Programu Operacyjnego Województwa Łódzkiego na lata 2014-2020 –  w roku 2017 - 1 262 940,89 zł, w 2018 = 26 856,00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„Przeciwdziałanie degradacji środowiska na terenie Nadwarciańskiego Obszaru Chronionego Krajobrazu w Sieradzu” w ramach Regionalnego Programu Operacyjnego Województwa Łódzkiego na lata 2014-2020 – w 2017 – 1 685 765,70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 Zagospodarowanie terenów turystyczno-rekreacyjnych na rzeką Wartą w rejonie ulicy Portowej” w ramach Regionalnego Programu Operacyjnego Województwa Łódzkiego na lata 2014-2020 (zadanie „Aktywna Dolina Rzeki Warty”) – w roku 2017 - 1 439 650,80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„Rodzina Razem” w ramach Regionalnego Programu Operacyjnego Województwa Łódzkiego na lata 2014-2020– w roku 2017 – 142 036,73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xml:space="preserve">- „Sieradz – wspólna droga do rozwoju – tworzymy plan rewitalizacji” w </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„Metoda CLIL w procesie kształcenia a rozwój umiejętności językowych uczniów i kompetencji   zawodowych  nauczycieli” w ramach Europejskiego Funduszu Społecznego - w roku 2017 – 7 419,80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„Równajmy  do  najlepszych” w ramach Europejskiego Funduszu Społecznego  - w roku 2017 – 377 858,27 zł, w roku 2018 – 77 062,87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„Poszerzamy horyzonty” w ramach Europejskiego Funduszu Społecznego  - w roku 2017 – 384 602,39 zł, w roku 2018 – 38 735,00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„Zaprogramuj swoją przyszłość” w ramach Programu Erazmus+ – w roku 2017 - 79 093,20 zł, w roku 2018 – 38 000,00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"Ziemia sieradzka regionalnym biegumen wzrostu gospodarczego" w ramach Regionalnego Programu Operacyjnego Wojeództwa Łódzkiego na lata 2014-2020 - wroku 2017 - 324 368,50 zł, w roku 2018 - 133 679,00zł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„Przebudowa oraz zmiana sposobu użytkowania budynku przy ul. Wojska Polskiego 73 w Sieradzu”  z Banku Gospodarstwa Krajowego ze środków Funduszu Dopłat– w roku 2017 - 1 100 000,00 zł,</w:t>
      </w:r>
    </w:p>
    <w:p w:rsidR="000859BF" w:rsidRPr="000859BF" w:rsidRDefault="000859BF" w:rsidP="000859B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4"/>
        <w:jc w:val="both"/>
        <w:rPr>
          <w:rFonts w:ascii="Times New Roman" w:hAnsi="Times New Roman" w:cs="Times New Roman"/>
          <w:sz w:val="20"/>
          <w:szCs w:val="20"/>
        </w:rPr>
      </w:pPr>
      <w:r w:rsidRPr="000859BF">
        <w:rPr>
          <w:rFonts w:ascii="Times New Roman" w:hAnsi="Times New Roman" w:cs="Times New Roman"/>
          <w:sz w:val="20"/>
          <w:szCs w:val="20"/>
        </w:rPr>
        <w:t>- „Przebudowa obiektów sportowych wraz z infrastrukturą towarzyszącą na stadionie MOSiR w Sieradzu” w ramach środków Funduszu Rozwoju Kultury Fizycznej –  w roku 2017 - 1 100 000,00 zł.</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Wydatki</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szczególności zadania własne obejmują sprawy: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ładu przestrzennego, gospodarki nieruchomościami, ochrony środowiska i przyrody oraz gospodarki wodnej,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gminnych dróg, ulic, mostów, placów oraz organizacji ruchu drogowego,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gospodarki odpadami komunalnymi.</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lokalnego transportu zbiorowego,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ochrony zdrowia,</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pomocy społecznej, w tym ośrodków i zakładów opiekuńczych,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gminnego budownictwa mieszkaniowego,</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edukacji publicznej,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kultury, w tym bibliotek gminnych i innych placówek upowszechniania kultury,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kultury fizycznej i turystyki, w tym terenów rekreacyjnych i urządzeń sportowych,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targowisk i hal targowych,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zieleni gminnej i zadrzewień,</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cmentarzy gminnych,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porządku publicznego i bezpieczeństwa obywateli oraz ochrony przeciwpożarowej i przeciwpowodziowej,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utrzymania gminnych obiektów i urządzeń użyteczności publicznej oraz obiektów administracyjnych,</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polityki prorodzinnej, w tym zapewnienia kobietom w ciąży opieki socjalnej, medycznej i prawnej,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wspierania i upowszechniania idei samorządowej,</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promocji gminy,</w:t>
      </w:r>
    </w:p>
    <w:p w:rsidR="000859BF" w:rsidRPr="000859BF" w:rsidRDefault="000859BF" w:rsidP="000859BF">
      <w:pPr>
        <w:widowControl w:val="0"/>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współpracy z organizacjami pozarządowymi, ze społecznościami lokalnymi i regionalnymi innych państw.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zakresie wydatków bieżących na rok 2017 zaprognozowano ich obniżenie i niewielki wzrost od 2018 roku i latach następnych. W roku 2017 i 2018 przewiduje się dalszą  analizę ponoszonych kosztów, a tym samym ich ograniczenie.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Sp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0859BF">
        <w:rPr>
          <w:rFonts w:ascii="Times New Roman" w:hAnsi="Times New Roman" w:cs="Times New Roman"/>
          <w:b/>
          <w:bCs/>
          <w:sz w:val="20"/>
          <w:szCs w:val="20"/>
        </w:rPr>
        <w:t>Informacje o zaciągniętych zobowiązaniach finansowych z tytułu kredytów i pożyczek</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Na podstawie art. 89 ust. 1 ustawy z dnia 27 sierpnia 2009 r. o finansach publicznych (Dz. U. 2013 poz. 885 z późn. zm.), jednostki samorządu terytorialnego mogą zaciągać kredyty, pożyczki oraz emitować papiery wartościowe na:</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pokrycie występującego w ciągu roku przejściowego deficytu budżetu jednostki samorządu terytorialnego;</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lastRenderedPageBreak/>
        <w:t>finansowanie planowanego deficytu budżetu jednostki samorządu terytorialnego;</w:t>
      </w:r>
    </w:p>
    <w:p w:rsidR="000859BF" w:rsidRPr="000859BF" w:rsidRDefault="000859BF" w:rsidP="000859BF">
      <w:pPr>
        <w:widowControl w:val="0"/>
        <w:numPr>
          <w:ilvl w:val="0"/>
          <w:numId w:val="9"/>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spłatę wcześniej zaciągniętych zobowiązań z tytułu emisji papierów wartościowych oraz zaciągniętych pożyczek i kredytów.</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Finansowanie takie nie powinno dotyczyć wydatków stałych, związanych z wykonywaniem bieżących zadań samorządu.</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Na dzień 31 grudnia 2016 r. Miasto Sieradz będzie stroną jednej umowy kredytowej, czterech umów pożyczek oraz  czterech  umów  emisji  obligacji,  których spłata przewidziana jest do roku 2021. W roku 2017 planowana jest emisja obligacji komunalnych na kwotę 9 500 000,00 zł, wykorzystanie wolnych środków z roku 2015, a także spłata rat kapitałowych kredytów i pożyczek oraz wykup papierów wartościowych na kwotę 6 148 565,92 zł.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color w:val="000000"/>
          <w:sz w:val="20"/>
          <w:szCs w:val="20"/>
          <w:shd w:val="clear" w:color="auto" w:fill="FFFFFF"/>
        </w:rPr>
      </w:pPr>
      <w:r w:rsidRPr="000859BF">
        <w:rPr>
          <w:rFonts w:ascii="Times New Roman" w:hAnsi="Times New Roman" w:cs="Times New Roman"/>
          <w:color w:val="000000"/>
          <w:sz w:val="20"/>
          <w:szCs w:val="20"/>
          <w:shd w:val="clear" w:color="auto" w:fill="FFFFFF"/>
        </w:rPr>
        <w:t>Zadłużenie na dzień 31.12.2016  roku wynosiło 26 230 819,92 zł, co w stosunku do dochodów stanowić 18,14 %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W związku z realizacja projektu współfinansowanego z Funduszu Spójności pn. System wodociągowy i kanalizacyjny w Sieradzu o roku 2008 dokonano poręczenia pożyczki zaciągniętej przez Miejskie Przedsiębiorstwo Wodociągów i Kanalizacji Sp z o.o. w Sieradzu w Wojewódzkim Funduszu Ochrony Środowiska i Gospodarki Wodnej w Łodzi na dofinansowanie w/w zadania. Łączna kwota poręczenia 18 713 839,22 zł. Zgodnie z podpisanym aneksem w poszczególnych latach przedstawia się następująco:</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0859BF" w:rsidRPr="000859BF">
        <w:tc>
          <w:tcPr>
            <w:tcW w:w="508" w:type="dxa"/>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0859BF">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859BF">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0859BF">
              <w:rPr>
                <w:rFonts w:ascii="Times New Roman" w:hAnsi="Times New Roman" w:cs="Times New Roman"/>
                <w:sz w:val="20"/>
                <w:szCs w:val="20"/>
              </w:rPr>
              <w:t>Wysokość poręczenia w roku (w  zł)</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Times New Roman" w:hAnsi="Times New Roman" w:cs="Times New Roman"/>
                <w:sz w:val="20"/>
                <w:szCs w:val="20"/>
              </w:rPr>
              <w:t>1 103 118,32</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2 166 203,26</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2 117 871,90</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2 070 445,36</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2 021 209,13</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1 972 877,75</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1 924 546,34</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1 876 590,15</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0859BF">
              <w:rPr>
                <w:rFonts w:ascii="Calibri" w:hAnsi="Calibri" w:cs="Calibri"/>
                <w:sz w:val="20"/>
                <w:szCs w:val="20"/>
              </w:rPr>
              <w:t>1 827 883,57</w:t>
            </w:r>
          </w:p>
        </w:tc>
      </w:tr>
      <w:tr w:rsidR="000859BF" w:rsidRPr="000859BF">
        <w:tc>
          <w:tcPr>
            <w:tcW w:w="508"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859BF">
              <w:rPr>
                <w:rFonts w:ascii="Times New Roman" w:hAnsi="Times New Roman" w:cs="Times New Roman"/>
                <w:sz w:val="20"/>
                <w:szCs w:val="20"/>
              </w:rPr>
              <w:t>1 633 093,44</w:t>
            </w:r>
          </w:p>
        </w:tc>
      </w:tr>
      <w:tr w:rsidR="000859BF" w:rsidRPr="000859BF">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0859BF">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0859BF">
              <w:rPr>
                <w:rFonts w:ascii="Times New Roman" w:hAnsi="Times New Roman" w:cs="Times New Roman"/>
                <w:sz w:val="20"/>
                <w:szCs w:val="20"/>
              </w:rPr>
              <w:t>18 713 839,22</w:t>
            </w:r>
          </w:p>
        </w:tc>
      </w:tr>
    </w:tbl>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Pożyczka spłacana jest na bieżąco.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0859BF">
        <w:rPr>
          <w:rFonts w:ascii="Times New Roman" w:hAnsi="Times New Roman" w:cs="Times New Roman"/>
          <w:sz w:val="20"/>
          <w:szCs w:val="20"/>
        </w:rPr>
        <w:t xml:space="preserve">Wydatki z tytułu niewymagalnych poręczeń i gwarancji wykraczające poza okres na który została opracowania wieloletnia prognoza finansowa wynoszą 9 234 991,25 zł </w:t>
      </w:r>
    </w:p>
    <w:p w:rsidR="000859BF" w:rsidRPr="000859BF" w:rsidRDefault="000859BF" w:rsidP="000859BF">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rPr>
          <w:rFonts w:ascii="Times New Roman" w:hAnsi="Times New Roman" w:cs="Times New Roman"/>
          <w:sz w:val="20"/>
          <w:szCs w:val="20"/>
        </w:rPr>
      </w:pPr>
    </w:p>
    <w:p w:rsidR="00061C48" w:rsidRDefault="00061C48">
      <w:bookmarkStart w:id="0" w:name="_GoBack"/>
      <w:bookmarkEnd w:id="0"/>
    </w:p>
    <w:sectPr w:rsidR="00061C48" w:rsidSect="00A61DFE">
      <w:footerReference w:type="default" r:id="rId6"/>
      <w:pgSz w:w="12240" w:h="15840"/>
      <w:pgMar w:top="1417" w:right="1417" w:bottom="1417" w:left="1417" w:header="720" w:footer="720"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1DFE" w:rsidRDefault="000859BF">
    <w:pPr>
      <w:pStyle w:val="Normal"/>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PAGE \* Arabic </w:instrText>
    </w:r>
    <w:r>
      <w:rPr>
        <w:rFonts w:ascii="Times New Roman" w:hAnsi="Times New Roman" w:cs="Times New Roman"/>
      </w:rPr>
      <w:fldChar w:fldCharType="separate"/>
    </w:r>
    <w:r>
      <w:rPr>
        <w:rFonts w:ascii="Times New Roman" w:hAnsi="Times New Roman" w:cs="Times New Roman"/>
        <w:noProof/>
      </w:rPr>
      <w:t>6</w:t>
    </w:r>
    <w:r>
      <w:rPr>
        <w:rFonts w:ascii="Times New Roman" w:hAnsi="Times New Roman" w:cs="Times New Roman"/>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decimal"/>
      <w:lvlText w:val="%1."/>
      <w:lvlJc w:val="left"/>
      <w:pPr>
        <w:ind w:left="36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abstractNum>
  <w:abstractNum w:abstractNumId="2">
    <w:nsid w:val="00000003"/>
    <w:multiLevelType w:val="multilevel"/>
    <w:tmpl w:val="00000003"/>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3">
    <w:nsid w:val="00000004"/>
    <w:multiLevelType w:val="multilevel"/>
    <w:tmpl w:val="00000004"/>
    <w:lvl w:ilvl="0">
      <w:start w:val="1"/>
      <w:numFmt w:val="lowerLetter"/>
      <w:lvlText w:val="%1)"/>
      <w:lvlJc w:val="left"/>
      <w:pPr>
        <w:ind w:left="732" w:hanging="372"/>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92" w:hanging="372"/>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52" w:hanging="372"/>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812" w:hanging="372"/>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72" w:hanging="372"/>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32" w:hanging="372"/>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92" w:hanging="372"/>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52" w:hanging="372"/>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612" w:hanging="372"/>
      </w:pPr>
      <w:rPr>
        <w:rFonts w:ascii="Times New Roman" w:hAnsi="Times New Roman" w:cs="Times New Roman"/>
        <w:b w:val="0"/>
        <w:bCs w:val="0"/>
        <w:i w:val="0"/>
        <w:iCs w:val="0"/>
        <w:strike w:val="0"/>
        <w:color w:val="auto"/>
        <w:sz w:val="20"/>
        <w:szCs w:val="20"/>
        <w:u w:val="none"/>
      </w:rPr>
    </w:lvl>
  </w:abstractNum>
  <w:abstractNum w:abstractNumId="4">
    <w:nsid w:val="00000005"/>
    <w:multiLevelType w:val="multilevel"/>
    <w:tmpl w:val="00000005"/>
    <w:lvl w:ilvl="0">
      <w:start w:val="1"/>
      <w:numFmt w:val="decimal"/>
      <w:lvlText w:val="%1)"/>
      <w:lvlJc w:val="left"/>
      <w:pPr>
        <w:ind w:left="720" w:hanging="360"/>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1080" w:hanging="360"/>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440" w:hanging="360"/>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800" w:hanging="360"/>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2160" w:hanging="360"/>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520" w:hanging="360"/>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880" w:hanging="360"/>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3240" w:hanging="360"/>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600" w:hanging="360"/>
      </w:pPr>
      <w:rPr>
        <w:rFonts w:ascii="Times New Roman" w:hAnsi="Times New Roman" w:cs="Times New Roman"/>
        <w:b w:val="0"/>
        <w:bCs w:val="0"/>
        <w:i w:val="0"/>
        <w:iCs w:val="0"/>
        <w:strike w:val="0"/>
        <w:color w:val="auto"/>
        <w:sz w:val="20"/>
        <w:szCs w:val="20"/>
        <w:u w:val="none"/>
      </w:rPr>
    </w:lvl>
  </w:abstractNum>
  <w:abstractNum w:abstractNumId="5">
    <w:nsid w:val="00000006"/>
    <w:multiLevelType w:val="multilevel"/>
    <w:tmpl w:val="00000006"/>
    <w:lvl w:ilvl="0">
      <w:start w:val="1"/>
      <w:numFmt w:val="lowerLetter"/>
      <w:lvlText w:val="%1)"/>
      <w:lvlJc w:val="left"/>
      <w:pPr>
        <w:ind w:left="714"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1074"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434"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794"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2154"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514"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874"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3234"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594" w:hanging="357"/>
      </w:pPr>
      <w:rPr>
        <w:rFonts w:ascii="Times New Roman" w:hAnsi="Times New Roman" w:cs="Times New Roman"/>
        <w:b w:val="0"/>
        <w:bCs w:val="0"/>
        <w:i w:val="0"/>
        <w:iCs w:val="0"/>
        <w:strike w:val="0"/>
        <w:color w:val="auto"/>
        <w:sz w:val="20"/>
        <w:szCs w:val="20"/>
        <w:u w:val="none"/>
      </w:rPr>
    </w:lvl>
  </w:abstractNum>
  <w:abstractNum w:abstractNumId="6">
    <w:nsid w:val="00000007"/>
    <w:multiLevelType w:val="multilevel"/>
    <w:tmpl w:val="00000007"/>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 w:ilvl="1">
      <w:start w:val="1"/>
      <w:numFmt w:val="decimal"/>
      <w:lvlText w:val="%2)"/>
      <w:lvlJc w:val="left"/>
      <w:pPr>
        <w:ind w:left="757" w:hanging="397"/>
      </w:pPr>
      <w:rPr>
        <w:rFonts w:ascii="Times New Roman" w:hAnsi="Times New Roman" w:cs="Times New Roman"/>
        <w:b w:val="0"/>
        <w:bCs w:val="0"/>
        <w:i w:val="0"/>
        <w:iCs w:val="0"/>
        <w:strike w:val="0"/>
        <w:color w:val="auto"/>
        <w:sz w:val="20"/>
        <w:szCs w:val="20"/>
        <w:u w:val="none"/>
      </w:rPr>
    </w:lvl>
    <w:lvl w:ilvl="2">
      <w:start w:val="1"/>
      <w:numFmt w:val="decimal"/>
      <w:lvlText w:val="%3)"/>
      <w:lvlJc w:val="left"/>
      <w:pPr>
        <w:ind w:left="1117" w:hanging="397"/>
      </w:pPr>
      <w:rPr>
        <w:rFonts w:ascii="Times New Roman" w:hAnsi="Times New Roman" w:cs="Times New Roman"/>
        <w:b w:val="0"/>
        <w:bCs w:val="0"/>
        <w:i w:val="0"/>
        <w:iCs w:val="0"/>
        <w:strike w:val="0"/>
        <w:color w:val="auto"/>
        <w:sz w:val="20"/>
        <w:szCs w:val="20"/>
        <w:u w:val="none"/>
      </w:rPr>
    </w:lvl>
    <w:lvl w:ilvl="3">
      <w:start w:val="1"/>
      <w:numFmt w:val="decimal"/>
      <w:lvlText w:val="%4)"/>
      <w:lvlJc w:val="left"/>
      <w:pPr>
        <w:ind w:left="1477" w:hanging="397"/>
      </w:pPr>
      <w:rPr>
        <w:rFonts w:ascii="Times New Roman" w:hAnsi="Times New Roman" w:cs="Times New Roman"/>
        <w:b w:val="0"/>
        <w:bCs w:val="0"/>
        <w:i w:val="0"/>
        <w:iCs w:val="0"/>
        <w:strike w:val="0"/>
        <w:color w:val="auto"/>
        <w:sz w:val="20"/>
        <w:szCs w:val="20"/>
        <w:u w:val="none"/>
      </w:rPr>
    </w:lvl>
    <w:lvl w:ilvl="4">
      <w:start w:val="1"/>
      <w:numFmt w:val="decimal"/>
      <w:lvlText w:val="%5)"/>
      <w:lvlJc w:val="left"/>
      <w:pPr>
        <w:ind w:left="1837" w:hanging="397"/>
      </w:pPr>
      <w:rPr>
        <w:rFonts w:ascii="Times New Roman" w:hAnsi="Times New Roman" w:cs="Times New Roman"/>
        <w:b w:val="0"/>
        <w:bCs w:val="0"/>
        <w:i w:val="0"/>
        <w:iCs w:val="0"/>
        <w:strike w:val="0"/>
        <w:color w:val="auto"/>
        <w:sz w:val="20"/>
        <w:szCs w:val="20"/>
        <w:u w:val="none"/>
      </w:rPr>
    </w:lvl>
    <w:lvl w:ilvl="5">
      <w:start w:val="1"/>
      <w:numFmt w:val="decimal"/>
      <w:lvlText w:val="%6)"/>
      <w:lvlJc w:val="left"/>
      <w:pPr>
        <w:ind w:left="2197" w:hanging="397"/>
      </w:pPr>
      <w:rPr>
        <w:rFonts w:ascii="Times New Roman" w:hAnsi="Times New Roman" w:cs="Times New Roman"/>
        <w:b w:val="0"/>
        <w:bCs w:val="0"/>
        <w:i w:val="0"/>
        <w:iCs w:val="0"/>
        <w:strike w:val="0"/>
        <w:color w:val="auto"/>
        <w:sz w:val="20"/>
        <w:szCs w:val="20"/>
        <w:u w:val="none"/>
      </w:rPr>
    </w:lvl>
    <w:lvl w:ilvl="6">
      <w:start w:val="1"/>
      <w:numFmt w:val="decimal"/>
      <w:lvlText w:val="%7)"/>
      <w:lvlJc w:val="left"/>
      <w:pPr>
        <w:ind w:left="2557" w:hanging="397"/>
      </w:pPr>
      <w:rPr>
        <w:rFonts w:ascii="Times New Roman" w:hAnsi="Times New Roman" w:cs="Times New Roman"/>
        <w:b w:val="0"/>
        <w:bCs w:val="0"/>
        <w:i w:val="0"/>
        <w:iCs w:val="0"/>
        <w:strike w:val="0"/>
        <w:color w:val="auto"/>
        <w:sz w:val="20"/>
        <w:szCs w:val="20"/>
        <w:u w:val="none"/>
      </w:rPr>
    </w:lvl>
    <w:lvl w:ilvl="7">
      <w:start w:val="1"/>
      <w:numFmt w:val="decimal"/>
      <w:lvlText w:val="%8)"/>
      <w:lvlJc w:val="left"/>
      <w:pPr>
        <w:ind w:left="2917" w:hanging="397"/>
      </w:pPr>
      <w:rPr>
        <w:rFonts w:ascii="Times New Roman" w:hAnsi="Times New Roman" w:cs="Times New Roman"/>
        <w:b w:val="0"/>
        <w:bCs w:val="0"/>
        <w:i w:val="0"/>
        <w:iCs w:val="0"/>
        <w:strike w:val="0"/>
        <w:color w:val="auto"/>
        <w:sz w:val="20"/>
        <w:szCs w:val="20"/>
        <w:u w:val="none"/>
      </w:rPr>
    </w:lvl>
    <w:lvl w:ilvl="8">
      <w:start w:val="1"/>
      <w:numFmt w:val="decimal"/>
      <w:lvlText w:val="%9)"/>
      <w:lvlJc w:val="left"/>
      <w:pPr>
        <w:ind w:left="3277" w:hanging="39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1"/>
    <w:lvlOverride w:ilvl="0">
      <w:lvl w:ilvl="0">
        <w:start w:val="1"/>
        <w:numFmt w:val="lowerLetter"/>
        <w:lvlText w:val="%1)"/>
        <w:lvlJc w:val="left"/>
        <w:pPr>
          <w:ind w:left="720" w:hanging="360"/>
        </w:pPr>
        <w:rPr>
          <w:rFonts w:ascii="Times New Roman" w:hAnsi="Times New Roman" w:cs="Times New Roman"/>
          <w:b w:val="0"/>
          <w:bCs w:val="0"/>
          <w:i w:val="0"/>
          <w:iCs w:val="0"/>
          <w:strike w:val="0"/>
          <w:color w:val="auto"/>
          <w:sz w:val="20"/>
          <w:szCs w:val="20"/>
          <w:u w:val="none"/>
        </w:rPr>
      </w:lvl>
    </w:lvlOverride>
    <w:lvlOverride w:ilvl="1">
      <w:lvl w:ilvl="1">
        <w:start w:val="1"/>
        <w:numFmt w:val="decimal"/>
        <w:lvlText w:val="%2."/>
        <w:lvlJc w:val="left"/>
        <w:pPr>
          <w:ind w:left="720" w:hanging="360"/>
        </w:pPr>
        <w:rPr>
          <w:rFonts w:ascii="Times New Roman" w:hAnsi="Times New Roman" w:cs="Times New Roman"/>
          <w:b w:val="0"/>
          <w:bCs w:val="0"/>
          <w:i w:val="0"/>
          <w:iCs w:val="0"/>
          <w:strike w:val="0"/>
          <w:color w:val="auto"/>
          <w:sz w:val="20"/>
          <w:szCs w:val="20"/>
          <w:u w:val="none"/>
        </w:rPr>
      </w:lvl>
    </w:lvlOverride>
    <w:lvlOverride w:ilvl="2">
      <w:lvl w:ilvl="2">
        <w:start w:val="1"/>
        <w:numFmt w:val="decimal"/>
        <w:lvlText w:val="%3."/>
        <w:lvlJc w:val="left"/>
        <w:pPr>
          <w:ind w:left="1080" w:hanging="360"/>
        </w:pPr>
        <w:rPr>
          <w:rFonts w:ascii="Times New Roman" w:hAnsi="Times New Roman" w:cs="Times New Roman"/>
          <w:b w:val="0"/>
          <w:bCs w:val="0"/>
          <w:i w:val="0"/>
          <w:iCs w:val="0"/>
          <w:strike w:val="0"/>
          <w:color w:val="auto"/>
          <w:sz w:val="20"/>
          <w:szCs w:val="20"/>
          <w:u w:val="none"/>
        </w:rPr>
      </w:lvl>
    </w:lvlOverride>
    <w:lvlOverride w:ilvl="3">
      <w:lvl w:ilvl="3">
        <w:start w:val="1"/>
        <w:numFmt w:val="decimal"/>
        <w:lvlText w:val="%4."/>
        <w:lvlJc w:val="left"/>
        <w:pPr>
          <w:ind w:left="1440" w:hanging="360"/>
        </w:pPr>
        <w:rPr>
          <w:rFonts w:ascii="Times New Roman" w:hAnsi="Times New Roman" w:cs="Times New Roman"/>
          <w:b w:val="0"/>
          <w:bCs w:val="0"/>
          <w:i w:val="0"/>
          <w:iCs w:val="0"/>
          <w:strike w:val="0"/>
          <w:color w:val="auto"/>
          <w:sz w:val="20"/>
          <w:szCs w:val="20"/>
          <w:u w:val="none"/>
        </w:rPr>
      </w:lvl>
    </w:lvlOverride>
    <w:lvlOverride w:ilvl="4">
      <w:lvl w:ilvl="4">
        <w:start w:val="1"/>
        <w:numFmt w:val="decimal"/>
        <w:lvlText w:val="%5."/>
        <w:lvlJc w:val="left"/>
        <w:pPr>
          <w:ind w:left="1800" w:hanging="360"/>
        </w:pPr>
        <w:rPr>
          <w:rFonts w:ascii="Times New Roman" w:hAnsi="Times New Roman" w:cs="Times New Roman"/>
          <w:b w:val="0"/>
          <w:bCs w:val="0"/>
          <w:i w:val="0"/>
          <w:iCs w:val="0"/>
          <w:strike w:val="0"/>
          <w:color w:val="auto"/>
          <w:sz w:val="20"/>
          <w:szCs w:val="20"/>
          <w:u w:val="none"/>
        </w:rPr>
      </w:lvl>
    </w:lvlOverride>
    <w:lvlOverride w:ilvl="5">
      <w:lvl w:ilvl="5">
        <w:start w:val="1"/>
        <w:numFmt w:val="decimal"/>
        <w:lvlText w:val="%6."/>
        <w:lvlJc w:val="left"/>
        <w:pPr>
          <w:ind w:left="2160" w:hanging="360"/>
        </w:pPr>
        <w:rPr>
          <w:rFonts w:ascii="Times New Roman" w:hAnsi="Times New Roman" w:cs="Times New Roman"/>
          <w:b w:val="0"/>
          <w:bCs w:val="0"/>
          <w:i w:val="0"/>
          <w:iCs w:val="0"/>
          <w:strike w:val="0"/>
          <w:color w:val="auto"/>
          <w:sz w:val="20"/>
          <w:szCs w:val="20"/>
          <w:u w:val="none"/>
        </w:rPr>
      </w:lvl>
    </w:lvlOverride>
    <w:lvlOverride w:ilvl="6">
      <w:lvl w:ilvl="6">
        <w:start w:val="1"/>
        <w:numFmt w:val="decimal"/>
        <w:lvlText w:val="%7."/>
        <w:lvlJc w:val="left"/>
        <w:pPr>
          <w:ind w:left="2520" w:hanging="360"/>
        </w:pPr>
        <w:rPr>
          <w:rFonts w:ascii="Times New Roman" w:hAnsi="Times New Roman" w:cs="Times New Roman"/>
          <w:b w:val="0"/>
          <w:bCs w:val="0"/>
          <w:i w:val="0"/>
          <w:iCs w:val="0"/>
          <w:strike w:val="0"/>
          <w:color w:val="auto"/>
          <w:sz w:val="20"/>
          <w:szCs w:val="20"/>
          <w:u w:val="none"/>
        </w:rPr>
      </w:lvl>
    </w:lvlOverride>
    <w:lvlOverride w:ilvl="7">
      <w:lvl w:ilvl="7">
        <w:start w:val="1"/>
        <w:numFmt w:val="decimal"/>
        <w:lvlText w:val="%8."/>
        <w:lvlJc w:val="left"/>
        <w:pPr>
          <w:ind w:left="2880" w:hanging="360"/>
        </w:pPr>
        <w:rPr>
          <w:rFonts w:ascii="Times New Roman" w:hAnsi="Times New Roman" w:cs="Times New Roman"/>
          <w:b w:val="0"/>
          <w:bCs w:val="0"/>
          <w:i w:val="0"/>
          <w:iCs w:val="0"/>
          <w:strike w:val="0"/>
          <w:color w:val="auto"/>
          <w:sz w:val="20"/>
          <w:szCs w:val="20"/>
          <w:u w:val="none"/>
        </w:rPr>
      </w:lvl>
    </w:lvlOverride>
    <w:lvlOverride w:ilvl="8">
      <w:lvl w:ilvl="8">
        <w:start w:val="1"/>
        <w:numFmt w:val="decimal"/>
        <w:lvlText w:val="%9."/>
        <w:lvlJc w:val="left"/>
        <w:pPr>
          <w:ind w:left="3240" w:hanging="360"/>
        </w:pPr>
        <w:rPr>
          <w:rFonts w:ascii="Times New Roman" w:hAnsi="Times New Roman" w:cs="Times New Roman"/>
          <w:b w:val="0"/>
          <w:bCs w:val="0"/>
          <w:i w:val="0"/>
          <w:iCs w:val="0"/>
          <w:strike w:val="0"/>
          <w:color w:val="auto"/>
          <w:sz w:val="20"/>
          <w:szCs w:val="20"/>
          <w:u w:val="none"/>
        </w:rPr>
      </w:lvl>
    </w:lvlOverride>
  </w:num>
  <w:num w:numId="4">
    <w:abstractNumId w:val="2"/>
  </w:num>
  <w:num w:numId="5">
    <w:abstractNumId w:val="3"/>
  </w:num>
  <w:num w:numId="6">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7">
    <w:abstractNumId w:val="4"/>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9BF"/>
    <w:rsid w:val="00061C48"/>
    <w:rsid w:val="000859BF"/>
    <w:rsid w:val="002A3359"/>
    <w:rsid w:val="004542DF"/>
    <w:rsid w:val="005739ED"/>
    <w:rsid w:val="00603F86"/>
    <w:rsid w:val="00740E2A"/>
    <w:rsid w:val="00753B41"/>
    <w:rsid w:val="00782BB9"/>
    <w:rsid w:val="0083306D"/>
    <w:rsid w:val="008E3EF1"/>
    <w:rsid w:val="00A5242A"/>
    <w:rsid w:val="00EB4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859BF"/>
    <w:pPr>
      <w:widowControl w:val="0"/>
      <w:autoSpaceDE w:val="0"/>
      <w:autoSpaceDN w:val="0"/>
      <w:adjustRightInd w:val="0"/>
      <w:spacing w:after="0" w:line="240" w:lineRule="auto"/>
    </w:pPr>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
    <w:name w:val="[Normal]"/>
    <w:uiPriority w:val="99"/>
    <w:rsid w:val="000859BF"/>
    <w:pPr>
      <w:widowControl w:val="0"/>
      <w:autoSpaceDE w:val="0"/>
      <w:autoSpaceDN w:val="0"/>
      <w:adjustRightInd w:val="0"/>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3664</Words>
  <Characters>21990</Characters>
  <Application>Microsoft Office Word</Application>
  <DocSecurity>0</DocSecurity>
  <Lines>183</Lines>
  <Paragraphs>51</Paragraphs>
  <ScaleCrop>false</ScaleCrop>
  <Company/>
  <LinksUpToDate>false</LinksUpToDate>
  <CharactersWithSpaces>25603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2</cp:revision>
  <dcterms:created xsi:type="dcterms:W3CDTF">2017-09-29T11:54:00Z</dcterms:created>
  <dcterms:modified xsi:type="dcterms:W3CDTF">2017-09-29T11:55:00Z</dcterms:modified>
</cp:coreProperties>
</file>