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0859BF">
        <w:rPr>
          <w:rFonts w:ascii="Times New Roman" w:hAnsi="Times New Roman" w:cs="Times New Roman"/>
          <w:b/>
          <w:bCs/>
          <w:sz w:val="20"/>
          <w:szCs w:val="20"/>
        </w:rPr>
        <w:t xml:space="preserve">Załącznik nr 3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0859BF">
        <w:rPr>
          <w:rFonts w:ascii="Times New Roman" w:hAnsi="Times New Roman" w:cs="Times New Roman"/>
          <w:b/>
          <w:bCs/>
          <w:sz w:val="20"/>
          <w:szCs w:val="20"/>
        </w:rPr>
        <w:t>Wieloletnia Prognoza Finansowa miasta Sieradza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0859BF">
        <w:rPr>
          <w:rFonts w:ascii="Times New Roman" w:hAnsi="Times New Roman" w:cs="Times New Roman"/>
        </w:rPr>
        <w:t>(objaśnienia)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Aktualnie gospodarkę budżetowa jednostek samorządu terytorialnego szczebla gminnego regulują dwie podstawowe ustawy tj.:</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z dnia 27 sierpnia 2009 r. o finansach publicznych (tj. Dz. U. 201</w:t>
      </w:r>
      <w:r w:rsidR="003A32A5">
        <w:rPr>
          <w:rFonts w:ascii="Times New Roman" w:hAnsi="Times New Roman" w:cs="Times New Roman"/>
          <w:sz w:val="20"/>
          <w:szCs w:val="20"/>
        </w:rPr>
        <w:t>7</w:t>
      </w:r>
      <w:r w:rsidRPr="000859BF">
        <w:rPr>
          <w:rFonts w:ascii="Times New Roman" w:hAnsi="Times New Roman" w:cs="Times New Roman"/>
          <w:sz w:val="20"/>
          <w:szCs w:val="20"/>
        </w:rPr>
        <w:t xml:space="preserve"> poz. </w:t>
      </w:r>
      <w:r w:rsidR="003A32A5">
        <w:rPr>
          <w:rFonts w:ascii="Times New Roman" w:hAnsi="Times New Roman" w:cs="Times New Roman"/>
          <w:sz w:val="20"/>
          <w:szCs w:val="20"/>
        </w:rPr>
        <w:t>2077</w:t>
      </w:r>
      <w:r w:rsidRPr="000859BF">
        <w:rPr>
          <w:rFonts w:ascii="Times New Roman" w:hAnsi="Times New Roman" w:cs="Times New Roman"/>
          <w:sz w:val="20"/>
          <w:szCs w:val="20"/>
        </w:rPr>
        <w:t>),</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z dnia 13 listopada 2003 r. o dochodach jednostek samorządu terytorialnego (Dz. U. z 201</w:t>
      </w:r>
      <w:r w:rsidR="003A32A5">
        <w:rPr>
          <w:rFonts w:ascii="Times New Roman" w:hAnsi="Times New Roman" w:cs="Times New Roman"/>
          <w:sz w:val="20"/>
          <w:szCs w:val="20"/>
        </w:rPr>
        <w:t>7</w:t>
      </w:r>
      <w:r w:rsidRPr="000859BF">
        <w:rPr>
          <w:rFonts w:ascii="Times New Roman" w:hAnsi="Times New Roman" w:cs="Times New Roman"/>
          <w:sz w:val="20"/>
          <w:szCs w:val="20"/>
        </w:rPr>
        <w:t xml:space="preserve">  poz. </w:t>
      </w:r>
      <w:r w:rsidR="003A32A5">
        <w:rPr>
          <w:rFonts w:ascii="Times New Roman" w:hAnsi="Times New Roman" w:cs="Times New Roman"/>
          <w:sz w:val="20"/>
          <w:szCs w:val="20"/>
        </w:rPr>
        <w:t>1875</w:t>
      </w:r>
      <w:r w:rsidRPr="000859BF">
        <w:rPr>
          <w:rFonts w:ascii="Times New Roman" w:hAnsi="Times New Roman" w:cs="Times New Roman"/>
          <w:sz w:val="20"/>
          <w:szCs w:val="20"/>
        </w:rPr>
        <w:t>)</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jednostek samorządu terytorialnego zależą od wielu czynników, które można podzielić na dwie kategorie:</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wewnętrzne, na które jednostka ma wpływ,</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zewnętrzne, na które jednostka nie ma wpływu.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 czynników wewnętrznych należy przede wszystkim polityki finansowa Rady Miejskiej.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zewnętrzne to przede wszystkim regulacje prawne obowiązujące samorządy. Są to między innymi</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o dochodach jednostek samorządu terytorialnego,</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o finansach publicznych (w szczególności limity zadłużenia oraz wydatków na obsługę długu),</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lokalne potrzeby społeczne i uwarunkowania gospodarcze regionu.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Istotnym czynnikiem o charakterze zewnętrznym o ogromnym wpływie na finanse Miasta jest ogólna sytuacja gospodarcza kraju.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Prognozując dochody i wydatki na lata 2017-202</w:t>
      </w:r>
      <w:r w:rsidR="003A32A5">
        <w:rPr>
          <w:rFonts w:ascii="Times New Roman" w:hAnsi="Times New Roman" w:cs="Times New Roman"/>
          <w:sz w:val="20"/>
          <w:szCs w:val="20"/>
        </w:rPr>
        <w:t>3</w:t>
      </w:r>
      <w:r w:rsidRPr="000859BF">
        <w:rPr>
          <w:rFonts w:ascii="Times New Roman" w:hAnsi="Times New Roman" w:cs="Times New Roman"/>
          <w:sz w:val="20"/>
          <w:szCs w:val="20"/>
        </w:rPr>
        <w:t xml:space="preserve"> wykorzystano następujące dokumenty: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Wieloletni Plan Finansowy Państwa 2016-2019,</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opracowanie Wieloletnia Prognoza Finansowa Jednostki Samorządu Terytorialnego – metodyka opracowania,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  wytyczne dotyczące założeń makroekonomicznych na potrzeby wieloletnich prognoz finansowych jednostek samorządu terytorialnego.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Według ustawy o dochodach jednostek samorządu terytorialnego (zgodnie z art. 4 i art. 7) źródłami dochodów Miasta są: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dochody własne,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subwencja ogólna,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dotacja celowa z budżetu państwa.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Źródłami dochodów własnych Miasta są:</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Wpływy z podatków:</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nieruchomości,</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rolnego,</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leśnego,</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 xml:space="preserve">od środków transportowych, </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dochodowego od osób fizycznych opłacanego w formie karty podatkowej,</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spadków i darowizn,</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czynności cywilnoprawnych;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Wpływy z opłat:</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skarbowej,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targowej,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miejscowej,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eksploatacyjnej - w części określonej w ustawie z dnia 4 lutego 1994 r. - Prawo geologiczne i górnicze,</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innych stanowiących dochody gminy uiszczanych na podstawie odrębnych przepisów;</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z majątku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Spadki, zapisy i darowizny na rzecz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z kar pieniężnych i grzywien określonych w odrębnych przepisach;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 xml:space="preserve">5 % dochodów uzyskiwanych na rzecz budżetu państwa w związku z realizacją zadań z zakresu administracji </w:t>
      </w:r>
      <w:r w:rsidRPr="000859BF">
        <w:rPr>
          <w:rFonts w:ascii="Times New Roman" w:hAnsi="Times New Roman" w:cs="Times New Roman"/>
          <w:sz w:val="20"/>
          <w:szCs w:val="20"/>
        </w:rPr>
        <w:lastRenderedPageBreak/>
        <w:t>rządowej oraz innych zadań zleconych ustawami,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pożyczek udzielanych przez gminę,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nieterminowo przekazywanych należności stanowiących dochody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środków finansowych gromadzonych na rachunkach bankowych gminy,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Dotacje z budżetów innych jednostek samorządu terytorialnego;</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Inne dochody należne gminie na podstawie odrębnych przepisów.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13.Udział we wpływach z podatku dochodowego;</w:t>
      </w:r>
    </w:p>
    <w:p w:rsidR="000859BF" w:rsidRPr="000859BF" w:rsidRDefault="000859BF" w:rsidP="000859B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osób fizycznych, od podatników tego podatku zamieszkałych na obszarze gminy – do wysokości 39,34 % - w roku 2017 – 37,89 % (corocznie wzrasta),</w:t>
      </w:r>
    </w:p>
    <w:p w:rsidR="000859BF" w:rsidRPr="000859BF" w:rsidRDefault="000859BF" w:rsidP="000859B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osób prawnych, od podatników tego podatku, posiadających siedzibę na obszarze gminy - 6,71 %.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14) subwencja ogólna składająca się z części:</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a)  wyrównawczej (w tym kwota podstawowa i uzupełniająca),</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b)  równoważącej,</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c)  oświatowej.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jednostek samorządu terytorialnego mogą być dotacje celowe z budżetu państwa na: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zadania z zakresu administracji rządowej oraz na inne zadania zlecone ustawami;</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zadania realizowane przez jednostki samorządu terytorialnego na mocy porozumień zawartych z organami administracji rządowej;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lub dofinansowanie zadań własnych;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realizacje zadań wynikających z umów międzynarodowych.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jednostek samorządu terytorialnego mogą być środki z funduszy celowych, pozyskiwane na podstawie odrębnych przepisów.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Bazą do prognoz na kolejne lata są wykonane  dochody w 2013, 2014, 2015 i 2016 oraz dochody planowane na rok 2017.</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 tak:</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od nieruchomości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 podatków i opłat lokalnych największe znaczenie dla budżetu gmin ma podatek od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Przedmiotem opodatkowania podatkiem od nieruchomości są grunty, budynki, budowle związane z prowadzeniem działalności gospodarczej.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Dochody z tego tytułu ustalono przyjmując podstawę wykonanie dochodów z tego tytułu w roku   2013, 2014 , 2015  i 2016. W roku 2017 nie </w:t>
      </w:r>
      <w:r w:rsidR="00F628AA">
        <w:rPr>
          <w:rFonts w:ascii="Times New Roman" w:hAnsi="Times New Roman" w:cs="Times New Roman"/>
          <w:sz w:val="20"/>
          <w:szCs w:val="20"/>
        </w:rPr>
        <w:t>dokonano</w:t>
      </w:r>
      <w:r w:rsidRPr="000859BF">
        <w:rPr>
          <w:rFonts w:ascii="Times New Roman" w:hAnsi="Times New Roman" w:cs="Times New Roman"/>
          <w:sz w:val="20"/>
          <w:szCs w:val="20"/>
        </w:rPr>
        <w:t xml:space="preserve"> zmiany stawek podatku.  Natomiast w kolejnych latach przyjęto stały wzrost o wskaźnik inflacji dla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 xml:space="preserve">Podatek od środków transportowych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Obowiązek podatkowy obciąża osoby fizyczne i prawne będące właścicielami wyżej wymienionych środków transportowych.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b/>
          <w:bCs/>
          <w:sz w:val="20"/>
          <w:szCs w:val="20"/>
        </w:rPr>
        <w:lastRenderedPageBreak/>
        <w:t>Podatek od czynności cywilnoprawnych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zapłaty podatku od czynności cywilnoprawnych wynika z ustawy z dnia 9 września 2000 roku o podatku od czynnoś</w:t>
      </w:r>
      <w:r w:rsidR="00AE537A">
        <w:rPr>
          <w:rFonts w:ascii="Times New Roman" w:hAnsi="Times New Roman" w:cs="Times New Roman"/>
          <w:sz w:val="20"/>
          <w:szCs w:val="20"/>
        </w:rPr>
        <w:t>ci cywilnoprawnych (Dz.U. z 2017</w:t>
      </w:r>
      <w:r w:rsidRPr="000859BF">
        <w:rPr>
          <w:rFonts w:ascii="Times New Roman" w:hAnsi="Times New Roman" w:cs="Times New Roman"/>
          <w:sz w:val="20"/>
          <w:szCs w:val="20"/>
        </w:rPr>
        <w:t xml:space="preserve"> r. poz. </w:t>
      </w:r>
      <w:r w:rsidR="00AE537A">
        <w:rPr>
          <w:rFonts w:ascii="Times New Roman" w:hAnsi="Times New Roman" w:cs="Times New Roman"/>
          <w:sz w:val="20"/>
          <w:szCs w:val="20"/>
        </w:rPr>
        <w:t>1150</w:t>
      </w:r>
      <w:r w:rsidRPr="000859BF">
        <w:rPr>
          <w:rFonts w:ascii="Times New Roman" w:hAnsi="Times New Roman" w:cs="Times New Roman"/>
          <w:sz w:val="20"/>
          <w:szCs w:val="20"/>
        </w:rPr>
        <w:t>).</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podatku od czynności cywilnoprawnych ustalono przyjmując podstawę wykonanie dochodów z tego tytułu  w  roku  2013, 2014, 2015 i 2016. W kolejnych latach stały wzrost o wskaźnik inflacji dla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Wpływy z opłaty skarbowej</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zapłaty opłaty skarbowej wynika z ustawy z dnia 16 listopada 2006 roku o opłacie skarbowej (Dz. U z 201</w:t>
      </w:r>
      <w:r w:rsidR="00AE537A">
        <w:rPr>
          <w:rFonts w:ascii="Times New Roman" w:hAnsi="Times New Roman" w:cs="Times New Roman"/>
          <w:sz w:val="20"/>
          <w:szCs w:val="20"/>
        </w:rPr>
        <w:t>6</w:t>
      </w:r>
      <w:r w:rsidRPr="000859BF">
        <w:rPr>
          <w:rFonts w:ascii="Times New Roman" w:hAnsi="Times New Roman" w:cs="Times New Roman"/>
          <w:sz w:val="20"/>
          <w:szCs w:val="20"/>
        </w:rPr>
        <w:t xml:space="preserve"> r. poz. </w:t>
      </w:r>
      <w:r w:rsidR="00AE537A">
        <w:rPr>
          <w:rFonts w:ascii="Times New Roman" w:hAnsi="Times New Roman" w:cs="Times New Roman"/>
          <w:sz w:val="20"/>
          <w:szCs w:val="20"/>
        </w:rPr>
        <w:t>1827</w:t>
      </w:r>
      <w:r w:rsidRPr="000859BF">
        <w:rPr>
          <w:rFonts w:ascii="Times New Roman" w:hAnsi="Times New Roman" w:cs="Times New Roman"/>
          <w:sz w:val="20"/>
          <w:szCs w:val="20"/>
        </w:rPr>
        <w:t xml:space="preserve"> z późn.zm.).</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Opłacie skarbowej podlegają:</w:t>
      </w:r>
    </w:p>
    <w:p w:rsidR="000859BF" w:rsidRPr="000859BF" w:rsidRDefault="000859BF" w:rsidP="000859BF">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sprawach indywidualnych z zakresu administracji publicznej;</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a) dokonanie czynności urzędowej na podstawie zgłoszenia lub na wniosek,</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b) wydanie zaświadczenia na wniosek,</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c) wydanie zezwolenia (pozwolenia, koncesji);</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wpływów z opłaty skarbowej na prognozowane lata przyjęto na poziomie kwoty wykonania za lata 2013,  2014, 2015 i 2016  zakładając w kolejnych latach wzrost o wskaźnik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Wpływy z opłaty za gospodarowanie odpadami komunalnymi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dochodowy od osób fizycznych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ujmowane są w budżecie na podstawie informacji (prognozy) Ministra Finansów.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dochodowy od osób prawnych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AE537A" w:rsidRPr="000859BF" w:rsidRDefault="00AE537A"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bookmarkStart w:id="0" w:name="_GoBack"/>
      <w:bookmarkEnd w:id="0"/>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lastRenderedPageBreak/>
        <w:t>Subwencje ogólne z budżetu państwa</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Zgodnie z art. 7 ust. 1 pkt 1 ustawy z dnia 13 listopada 2003 roku o dochodach jednostek samorządu terytorialnego (Dz. U. z 201</w:t>
      </w:r>
      <w:r w:rsidR="00AE537A">
        <w:rPr>
          <w:rFonts w:ascii="Times New Roman" w:hAnsi="Times New Roman" w:cs="Times New Roman"/>
          <w:sz w:val="20"/>
          <w:szCs w:val="20"/>
        </w:rPr>
        <w:t>7</w:t>
      </w:r>
      <w:r w:rsidRPr="000859BF">
        <w:rPr>
          <w:rFonts w:ascii="Times New Roman" w:hAnsi="Times New Roman" w:cs="Times New Roman"/>
          <w:sz w:val="20"/>
          <w:szCs w:val="20"/>
        </w:rPr>
        <w:t xml:space="preserve"> r. poz. </w:t>
      </w:r>
      <w:r w:rsidR="00AE537A">
        <w:rPr>
          <w:rFonts w:ascii="Times New Roman" w:hAnsi="Times New Roman" w:cs="Times New Roman"/>
          <w:sz w:val="20"/>
          <w:szCs w:val="20"/>
        </w:rPr>
        <w:t>1453</w:t>
      </w:r>
      <w:r w:rsidRPr="000859BF">
        <w:rPr>
          <w:rFonts w:ascii="Times New Roman" w:hAnsi="Times New Roman" w:cs="Times New Roman"/>
          <w:sz w:val="20"/>
          <w:szCs w:val="20"/>
        </w:rPr>
        <w:t>)  subwencja ogólna dla gmin składa się z następujących części:</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wyrównawczej,</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równoważącej ,</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oświatowej.</w:t>
      </w:r>
    </w:p>
    <w:p w:rsidR="000859BF" w:rsidRPr="000859BF" w:rsidRDefault="000859BF" w:rsidP="000859BF">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0859BF">
        <w:rPr>
          <w:rFonts w:ascii="Times New Roman" w:hAnsi="Times New Roman" w:cs="Times New Roman"/>
          <w:sz w:val="20"/>
          <w:szCs w:val="20"/>
        </w:rPr>
        <w:t>odroczeń</w:t>
      </w:r>
      <w:proofErr w:type="spellEnd"/>
      <w:r w:rsidRPr="000859BF">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Sieradza nie dotyczy).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Miasto Siera</w:t>
      </w:r>
      <w:r w:rsidR="00AE537A">
        <w:rPr>
          <w:rFonts w:ascii="Times New Roman" w:hAnsi="Times New Roman" w:cs="Times New Roman"/>
          <w:sz w:val="20"/>
          <w:szCs w:val="20"/>
        </w:rPr>
        <w:t>dz nie otrzymuje subwencji równ</w:t>
      </w:r>
      <w:r w:rsidRPr="000859BF">
        <w:rPr>
          <w:rFonts w:ascii="Times New Roman" w:hAnsi="Times New Roman" w:cs="Times New Roman"/>
          <w:sz w:val="20"/>
          <w:szCs w:val="20"/>
        </w:rPr>
        <w:t>oważącej.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Ad. c) część oświatowa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opracowaniu przyjęto, iż cześć oświatowa subwencji ogólnej obliczona będzie przy zastosowaniu wskaźnika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Pozostałe dochody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w:t>
      </w:r>
      <w:r w:rsidR="00AE537A">
        <w:rPr>
          <w:rFonts w:ascii="Times New Roman" w:hAnsi="Times New Roman" w:cs="Times New Roman"/>
          <w:sz w:val="20"/>
          <w:szCs w:val="20"/>
        </w:rPr>
        <w:t>7</w:t>
      </w:r>
      <w:r w:rsidRPr="000859BF">
        <w:rPr>
          <w:rFonts w:ascii="Times New Roman" w:hAnsi="Times New Roman" w:cs="Times New Roman"/>
          <w:sz w:val="20"/>
          <w:szCs w:val="20"/>
        </w:rPr>
        <w:t xml:space="preserve">  poz. </w:t>
      </w:r>
      <w:r w:rsidR="00AE537A">
        <w:rPr>
          <w:rFonts w:ascii="Times New Roman" w:hAnsi="Times New Roman" w:cs="Times New Roman"/>
          <w:sz w:val="20"/>
          <w:szCs w:val="20"/>
        </w:rPr>
        <w:t>2077</w:t>
      </w:r>
      <w:r w:rsidRPr="000859BF">
        <w:rPr>
          <w:rFonts w:ascii="Times New Roman" w:hAnsi="Times New Roman" w:cs="Times New Roman"/>
          <w:sz w:val="20"/>
          <w:szCs w:val="20"/>
        </w:rPr>
        <w:t>).</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Dochody z dotacje celowe otrzymane z budżetu państwa na realizacje zadań bieżących z zakresu administracji </w:t>
      </w:r>
      <w:r w:rsidRPr="000859BF">
        <w:rPr>
          <w:rFonts w:ascii="Times New Roman" w:hAnsi="Times New Roman" w:cs="Times New Roman"/>
          <w:sz w:val="20"/>
          <w:szCs w:val="20"/>
        </w:rPr>
        <w:lastRenderedPageBreak/>
        <w:t>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Według naszych szacunków z tego tytułu winno wpłynąć do budżetu miasta:  2017 – 1 392 858,00 zł, 2018 – 1 602 900,00 zł, 2019 – 1 641 510,00 zł, 2020 -1 724 400,00 zł, 2021 – 1 765 200,00 zł.</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Ponadto od roku 2016 otrzymujemy dotację na wykonanie zadania „500+”.</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 ze sprzedaży majątku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wpłaty z tytułu odpłatnego nabycia prawa własności nieruchomości składają się:</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mieszkań,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lokali użytkowych,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gruntów,</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innych obiektów budowlanych,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zwrot wywłaszczonych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zależą przede wszystkim od:</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posiadanego przez jednostkę mienia,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koniunktury na rynku,</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atrakcyjności ofert sprzedaży.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utrzymanie na obecnym poziomie dochodów z tytułu sprzedaży mieszkań,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sukcesywny wzrost dochodów z tytułu sprzedaży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 z tytułu dotacji oraz innych środków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Zostało przyznane dofinansowanie na realizację zadań pn.:</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rPr>
        <w:t xml:space="preserve">- </w:t>
      </w:r>
      <w:r w:rsidRPr="000859BF">
        <w:rPr>
          <w:rFonts w:ascii="Times New Roman" w:hAnsi="Times New Roman" w:cs="Times New Roman"/>
          <w:sz w:val="20"/>
          <w:szCs w:val="20"/>
        </w:rPr>
        <w:t xml:space="preserve">„e-Sieradz. Elektroniczne usługi dla mieszkańców”  w ramach Regionalnego Programu Operacyjnego Województwa Łódzkiego na lata 2014-2020 – w roku 2017 - </w:t>
      </w:r>
      <w:r w:rsidR="00F628AA">
        <w:rPr>
          <w:rFonts w:ascii="Times New Roman" w:hAnsi="Times New Roman" w:cs="Times New Roman"/>
          <w:sz w:val="20"/>
          <w:szCs w:val="20"/>
        </w:rPr>
        <w:t>0</w:t>
      </w:r>
      <w:r w:rsidRPr="000859BF">
        <w:rPr>
          <w:rFonts w:ascii="Times New Roman" w:hAnsi="Times New Roman" w:cs="Times New Roman"/>
          <w:sz w:val="20"/>
          <w:szCs w:val="20"/>
        </w:rPr>
        <w:t xml:space="preserve">,00 zł,  w 2018 – </w:t>
      </w:r>
      <w:r w:rsidR="00F628AA">
        <w:rPr>
          <w:rFonts w:ascii="Times New Roman" w:hAnsi="Times New Roman" w:cs="Times New Roman"/>
          <w:sz w:val="20"/>
          <w:szCs w:val="20"/>
        </w:rPr>
        <w:t>1 156 000</w:t>
      </w:r>
      <w:r w:rsidRPr="000859BF">
        <w:rPr>
          <w:rFonts w:ascii="Times New Roman" w:hAnsi="Times New Roman" w:cs="Times New Roman"/>
          <w:sz w:val="20"/>
          <w:szCs w:val="20"/>
        </w:rPr>
        <w:t>,00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„Pracuj u siebie” w ramach Regionalnego Programu Operacyjnego Województwa Łódzkiego na lata 2014-2020 –  w roku 2017 - 1 262 940,89 zł, w 2018 = 26 856,00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„Przeciwdziałanie degradacji środowiska na terenie Nadwarciańskiego Obszaru Chronionego Krajobrazu w Sieradzu” w ramach Regionalnego Programu Operacyjnego Województwa Łódzkiego na lata 2014-2020 – w 2017 – 1 685 765,70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 Zagospodarowanie terenów turystyczno-rekreacyjnych na rzeką Wartą w rejonie ulicy Portowej” w ramach Regionalnego Programu Operacyjnego Województwa Łódzkiego na lata 2014-2020 (zadanie „Aktywna Dolina Rzeki Warty”) – w roku 2017 - 1 439 650,80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„Rodzina Razem” w ramach Regionalnego Programu Operacyjnego Województwa Łódzkiego na lata 2014-2020– w roku 2017 – 1</w:t>
      </w:r>
      <w:r w:rsidR="00153A26">
        <w:rPr>
          <w:rFonts w:ascii="Times New Roman" w:hAnsi="Times New Roman" w:cs="Times New Roman"/>
          <w:sz w:val="20"/>
          <w:szCs w:val="20"/>
        </w:rPr>
        <w:t>82 036,73</w:t>
      </w:r>
      <w:r w:rsidRPr="000859BF">
        <w:rPr>
          <w:rFonts w:ascii="Times New Roman" w:hAnsi="Times New Roman" w:cs="Times New Roman"/>
          <w:sz w:val="20"/>
          <w:szCs w:val="20"/>
        </w:rPr>
        <w:t xml:space="preserve">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xml:space="preserve">- „Sieradz – wspólna droga do rozwoju – tworzymy plan rewitalizacji” w </w:t>
      </w:r>
      <w:r w:rsidR="00153A26">
        <w:rPr>
          <w:rFonts w:ascii="Times New Roman" w:hAnsi="Times New Roman" w:cs="Times New Roman"/>
          <w:sz w:val="20"/>
          <w:szCs w:val="20"/>
        </w:rPr>
        <w:t>roku 2017 – 105 480,00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„Metoda CLIL w procesie kształcenia a rozwój umiejętności językowych uczniów i kompetencji   zawodowych  nauczycieli” w ramach Europejskiego Funduszu Społecznego - w roku 2017 – 7 419,80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„Równajmy  do  najlepszych” w ramach Europejskiego Funduszu Społecznego  - w roku 2017 – 377 858,27 zł, w roku 2018 – 77 062,87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„Poszerzamy horyzonty” w ramach Europejskiego Funduszu Społecznego  - w roku 2017 – 384 602,39 zł, w roku 2018 – 38 735,00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xml:space="preserve">- „Zaprogramuj swoją przyszłość” w ramach Programu </w:t>
      </w:r>
      <w:proofErr w:type="spellStart"/>
      <w:r w:rsidRPr="000859BF">
        <w:rPr>
          <w:rFonts w:ascii="Times New Roman" w:hAnsi="Times New Roman" w:cs="Times New Roman"/>
          <w:sz w:val="20"/>
          <w:szCs w:val="20"/>
        </w:rPr>
        <w:t>Erazmus</w:t>
      </w:r>
      <w:proofErr w:type="spellEnd"/>
      <w:r w:rsidRPr="000859BF">
        <w:rPr>
          <w:rFonts w:ascii="Times New Roman" w:hAnsi="Times New Roman" w:cs="Times New Roman"/>
          <w:sz w:val="20"/>
          <w:szCs w:val="20"/>
        </w:rPr>
        <w:t>+ – w roku 2017 - 79 093,20 zł, w roku 2018 – 38 000,00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"Ziemia sieradzka regionalnym biegu</w:t>
      </w:r>
      <w:r w:rsidR="00AE537A">
        <w:rPr>
          <w:rFonts w:ascii="Times New Roman" w:hAnsi="Times New Roman" w:cs="Times New Roman"/>
          <w:sz w:val="20"/>
          <w:szCs w:val="20"/>
        </w:rPr>
        <w:t>n</w:t>
      </w:r>
      <w:r w:rsidRPr="000859BF">
        <w:rPr>
          <w:rFonts w:ascii="Times New Roman" w:hAnsi="Times New Roman" w:cs="Times New Roman"/>
          <w:sz w:val="20"/>
          <w:szCs w:val="20"/>
        </w:rPr>
        <w:t>e</w:t>
      </w:r>
      <w:r w:rsidR="00AE537A">
        <w:rPr>
          <w:rFonts w:ascii="Times New Roman" w:hAnsi="Times New Roman" w:cs="Times New Roman"/>
          <w:sz w:val="20"/>
          <w:szCs w:val="20"/>
        </w:rPr>
        <w:t>m</w:t>
      </w:r>
      <w:r w:rsidRPr="000859BF">
        <w:rPr>
          <w:rFonts w:ascii="Times New Roman" w:hAnsi="Times New Roman" w:cs="Times New Roman"/>
          <w:sz w:val="20"/>
          <w:szCs w:val="20"/>
        </w:rPr>
        <w:t xml:space="preserve"> wzrostu gospodarczego" w ramach Regionalnego Programu Operacyjnego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Woje</w:t>
      </w:r>
      <w:r w:rsidR="00AE537A">
        <w:rPr>
          <w:rFonts w:ascii="Times New Roman" w:hAnsi="Times New Roman" w:cs="Times New Roman"/>
          <w:sz w:val="20"/>
          <w:szCs w:val="20"/>
        </w:rPr>
        <w:t>w</w:t>
      </w:r>
      <w:r w:rsidRPr="000859BF">
        <w:rPr>
          <w:rFonts w:ascii="Times New Roman" w:hAnsi="Times New Roman" w:cs="Times New Roman"/>
          <w:sz w:val="20"/>
          <w:szCs w:val="20"/>
        </w:rPr>
        <w:t>ództwa</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 Łódzkiego</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na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lata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2014-2020 </w:t>
      </w:r>
      <w:r w:rsidR="00AE537A">
        <w:rPr>
          <w:rFonts w:ascii="Times New Roman" w:hAnsi="Times New Roman" w:cs="Times New Roman"/>
          <w:sz w:val="20"/>
          <w:szCs w:val="20"/>
        </w:rPr>
        <w:t>–</w:t>
      </w:r>
      <w:r w:rsidRPr="000859BF">
        <w:rPr>
          <w:rFonts w:ascii="Times New Roman" w:hAnsi="Times New Roman" w:cs="Times New Roman"/>
          <w:sz w:val="20"/>
          <w:szCs w:val="20"/>
        </w:rPr>
        <w:t xml:space="preserve">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w</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roku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 xml:space="preserve">2017 - </w:t>
      </w:r>
      <w:r w:rsidR="00AE537A">
        <w:rPr>
          <w:rFonts w:ascii="Times New Roman" w:hAnsi="Times New Roman" w:cs="Times New Roman"/>
          <w:sz w:val="20"/>
          <w:szCs w:val="20"/>
        </w:rPr>
        <w:t xml:space="preserve"> </w:t>
      </w:r>
      <w:r w:rsidRPr="000859BF">
        <w:rPr>
          <w:rFonts w:ascii="Times New Roman" w:hAnsi="Times New Roman" w:cs="Times New Roman"/>
          <w:sz w:val="20"/>
          <w:szCs w:val="20"/>
        </w:rPr>
        <w:t>324 368,50 zł, w roku 2018 - 133 679,00zł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„Przebudowa oraz zmiana sposobu użytkowania budynku przy ul. Wojska Polskiego 73 w Sieradzu”  z Banku Gospodarstwa Krajowego ze środków Funduszu Dopłat– w roku 2017 - 1 100 000,00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lastRenderedPageBreak/>
        <w:t>- „Przebudowa obiektów sportowych wraz z infrastrukturą towarzyszącą na stadionie MOSiR w Sieradzu” w ramach środków Funduszu Rozwoju Kultury Fizycznej –  w roku 2017 - 1 100 000,00 zł.</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Wydatki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szczególności zadania własne obejmują sprawy: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ładu przestrzennego, gospodarki nieruchomościami, ochrony środowiska i przyrody oraz gospodarki wodnej,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gminnych dróg, ulic, mostów, placów oraz organizacji ruchu drogowego,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gospodarki odpadami komunalnymi.</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lokalnego transportu zbiorowego,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ochrony zdrowia,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pomocy społecznej, w tym ośrodków i zakładów opiekuńczych,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gminnego budownictwa mieszkaniowego,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edukacji publicznej,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kultury, w tym bibliotek gminnych i innych placówek upowszechniania kultury,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kultury fizycznej i turystyki, w tym terenów rekreacyjnych i urządzeń sportowych,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targowisk i hal targowych,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zieleni gminnej i </w:t>
      </w:r>
      <w:proofErr w:type="spellStart"/>
      <w:r w:rsidRPr="000859BF">
        <w:rPr>
          <w:rFonts w:ascii="Times New Roman" w:hAnsi="Times New Roman" w:cs="Times New Roman"/>
          <w:sz w:val="20"/>
          <w:szCs w:val="20"/>
        </w:rPr>
        <w:t>zadrzewień</w:t>
      </w:r>
      <w:proofErr w:type="spellEnd"/>
      <w:r w:rsidRPr="000859BF">
        <w:rPr>
          <w:rFonts w:ascii="Times New Roman" w:hAnsi="Times New Roman" w:cs="Times New Roman"/>
          <w:sz w:val="20"/>
          <w:szCs w:val="20"/>
        </w:rPr>
        <w:t>,</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cmentarzy gminnych,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porządku publicznego i bezpieczeństwa obywateli oraz ochrony przeciwpożarowej i przeciwpowodziowej,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utrzymania gminnych obiektów i urządzeń użyteczności publicznej oraz obiektów administracyjnych,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polityki prorodzinnej, w tym zapewnienia kobietom w ciąży opieki socjalnej, medycznej i prawnej,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wspierania i upowszechniania idei samorządowej,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promocji gminy,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współpracy z organizacjami pozarządowymi, ze społecznościami lokalnymi i regionalnymi innych państw.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 zakresie wydatków bieżących na rok 2017 zaprognozowano ich </w:t>
      </w:r>
      <w:r w:rsidR="00AE537A">
        <w:rPr>
          <w:rFonts w:ascii="Times New Roman" w:hAnsi="Times New Roman" w:cs="Times New Roman"/>
          <w:sz w:val="20"/>
          <w:szCs w:val="20"/>
        </w:rPr>
        <w:t xml:space="preserve">wzrost na 2018, a następnie </w:t>
      </w:r>
      <w:r w:rsidRPr="000859BF">
        <w:rPr>
          <w:rFonts w:ascii="Times New Roman" w:hAnsi="Times New Roman" w:cs="Times New Roman"/>
          <w:sz w:val="20"/>
          <w:szCs w:val="20"/>
        </w:rPr>
        <w:t>obn</w:t>
      </w:r>
      <w:r w:rsidR="00AE537A">
        <w:rPr>
          <w:rFonts w:ascii="Times New Roman" w:hAnsi="Times New Roman" w:cs="Times New Roman"/>
          <w:sz w:val="20"/>
          <w:szCs w:val="20"/>
        </w:rPr>
        <w:t>iżenie i niewielki wzrost od 2020</w:t>
      </w:r>
      <w:r w:rsidRPr="000859BF">
        <w:rPr>
          <w:rFonts w:ascii="Times New Roman" w:hAnsi="Times New Roman" w:cs="Times New Roman"/>
          <w:sz w:val="20"/>
          <w:szCs w:val="20"/>
        </w:rPr>
        <w:t xml:space="preserve"> roku i latach następnych. W roku 2017 i 2018 przewiduje się dalszą  analizę ponoszonych kosztów, a tym samym ich ograniczenie.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0859BF">
        <w:rPr>
          <w:rFonts w:ascii="Times New Roman" w:hAnsi="Times New Roman" w:cs="Times New Roman"/>
          <w:sz w:val="20"/>
          <w:szCs w:val="20"/>
        </w:rPr>
        <w:t>Sp</w:t>
      </w:r>
      <w:proofErr w:type="spellEnd"/>
      <w:r w:rsidRPr="000859BF">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Informacje o zaciągniętych zobowiązaniach finansowych z tytułu kredytów i pożyczek</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Na podstawie art. 89 ust. 1 ustawy z dnia 27 sierpnia 2009 r. o finansach publicznych (Dz. U. 2013 poz. 885 z </w:t>
      </w:r>
      <w:proofErr w:type="spellStart"/>
      <w:r w:rsidRPr="000859BF">
        <w:rPr>
          <w:rFonts w:ascii="Times New Roman" w:hAnsi="Times New Roman" w:cs="Times New Roman"/>
          <w:sz w:val="20"/>
          <w:szCs w:val="20"/>
        </w:rPr>
        <w:t>późn</w:t>
      </w:r>
      <w:proofErr w:type="spellEnd"/>
      <w:r w:rsidRPr="000859BF">
        <w:rPr>
          <w:rFonts w:ascii="Times New Roman" w:hAnsi="Times New Roman" w:cs="Times New Roman"/>
          <w:sz w:val="20"/>
          <w:szCs w:val="20"/>
        </w:rPr>
        <w:t xml:space="preserve">. </w:t>
      </w:r>
      <w:r w:rsidRPr="000859BF">
        <w:rPr>
          <w:rFonts w:ascii="Times New Roman" w:hAnsi="Times New Roman" w:cs="Times New Roman"/>
          <w:sz w:val="20"/>
          <w:szCs w:val="20"/>
        </w:rPr>
        <w:lastRenderedPageBreak/>
        <w:t>zm.), jednostki samorządu terytorialnego mogą zaciągać kredyty, pożyczki oraz emitować papiery wartościowe na:</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pokrycie występującego w ciągu roku przejściowego deficytu budżetu jednostki samorządu terytorialnego;</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planowanego deficytu budżetu jednostki samorządu terytorialnego;</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spłatę wcześniej zaciągniętych zobowiązań z tytułu emisji papierów wartościowych oraz zaciągniętych pożyczek i kredytów.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takie nie powinno dotyczyć wydatków stałych, związanych z wykonywaniem bieżących zadań samorządu.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Na dzień 31 grudnia 2016 r. Miasto Sieradz będzie stroną jednej umowy kredytowej, czterech umów pożyczek oraz  czterech  umów  emisji  obligacji,  których spłata przewidziana jest do roku 2021. W roku 2017 planowana jest emisja obligacji komunalnych na kwotę 9 500 000,00 zł, wykorzystanie wolnych środków z roku 2015, a także spłata rat kapitałowych kredytów i pożyczek oraz wykup papierów wartościowych na kwotę 6 148 565,92 zł.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0859BF">
        <w:rPr>
          <w:rFonts w:ascii="Times New Roman" w:hAnsi="Times New Roman" w:cs="Times New Roman"/>
          <w:color w:val="000000"/>
          <w:sz w:val="20"/>
          <w:szCs w:val="20"/>
          <w:shd w:val="clear" w:color="auto" w:fill="FFFFFF"/>
        </w:rPr>
        <w:t>Zadłużenie na dzień 31.12.2016  roku wynosiło 26 230 819,92 zł, co w stosunku do dochodów stanowić 18,14 %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0859BF">
        <w:rPr>
          <w:rFonts w:ascii="Times New Roman" w:hAnsi="Times New Roman" w:cs="Times New Roman"/>
          <w:sz w:val="20"/>
          <w:szCs w:val="20"/>
        </w:rPr>
        <w:t>Sp</w:t>
      </w:r>
      <w:proofErr w:type="spellEnd"/>
      <w:r w:rsidRPr="000859BF">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0859BF" w:rsidRPr="000859BF">
        <w:tc>
          <w:tcPr>
            <w:tcW w:w="508" w:type="dxa"/>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0859BF">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859BF">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859BF">
              <w:rPr>
                <w:rFonts w:ascii="Times New Roman" w:hAnsi="Times New Roman" w:cs="Times New Roman"/>
                <w:sz w:val="20"/>
                <w:szCs w:val="20"/>
              </w:rPr>
              <w:t>Wysokość poręczenia w roku (w  zł)</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Times New Roman" w:hAnsi="Times New Roman" w:cs="Times New Roman"/>
                <w:sz w:val="20"/>
                <w:szCs w:val="20"/>
              </w:rPr>
              <w:t>1 103 118,32</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2 166 203,26</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2 117 871,90</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2 070 445,36</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2 021 209,13</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1 972 877,75</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1 924 546,34</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1 876 590,15</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1 827 883,57</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859BF">
              <w:rPr>
                <w:rFonts w:ascii="Times New Roman" w:hAnsi="Times New Roman" w:cs="Times New Roman"/>
                <w:sz w:val="20"/>
                <w:szCs w:val="20"/>
              </w:rPr>
              <w:t>1 633 093,44</w:t>
            </w:r>
          </w:p>
        </w:tc>
      </w:tr>
      <w:tr w:rsidR="000859BF" w:rsidRPr="000859BF">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859BF">
              <w:rPr>
                <w:rFonts w:ascii="Times New Roman" w:hAnsi="Times New Roman" w:cs="Times New Roman"/>
                <w:sz w:val="20"/>
                <w:szCs w:val="20"/>
              </w:rPr>
              <w:t>18 713 839,22</w:t>
            </w:r>
          </w:p>
        </w:tc>
      </w:tr>
    </w:tbl>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Pożyczka spłacana jest na bieżąco.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Wydatki z tytułu niewymagalnych poręczeń i gwarancji wykraczające poza okres na który została opracowania wieloletnia prognoza finansowa wynoszą </w:t>
      </w:r>
      <w:r w:rsidR="00AE537A">
        <w:rPr>
          <w:rFonts w:ascii="Times New Roman" w:hAnsi="Times New Roman" w:cs="Times New Roman"/>
          <w:sz w:val="20"/>
          <w:szCs w:val="20"/>
        </w:rPr>
        <w:t>5 337 567,16</w:t>
      </w:r>
      <w:r w:rsidRPr="000859BF">
        <w:rPr>
          <w:rFonts w:ascii="Times New Roman" w:hAnsi="Times New Roman" w:cs="Times New Roman"/>
          <w:sz w:val="20"/>
          <w:szCs w:val="20"/>
        </w:rPr>
        <w:t xml:space="preserve"> zł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rPr>
          <w:rFonts w:ascii="Times New Roman" w:hAnsi="Times New Roman" w:cs="Times New Roman"/>
          <w:sz w:val="20"/>
          <w:szCs w:val="20"/>
        </w:rPr>
      </w:pPr>
    </w:p>
    <w:p w:rsidR="00061C48" w:rsidRDefault="00061C48"/>
    <w:sectPr w:rsidR="00061C48" w:rsidSect="00A61DFE">
      <w:footerReference w:type="default" r:id="rId8"/>
      <w:pgSz w:w="12240" w:h="15840"/>
      <w:pgMar w:top="1417" w:right="1417" w:bottom="1417" w:left="1417"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3D" w:rsidRDefault="0036053D">
      <w:pPr>
        <w:spacing w:after="0" w:line="240" w:lineRule="auto"/>
      </w:pPr>
      <w:r>
        <w:separator/>
      </w:r>
    </w:p>
  </w:endnote>
  <w:endnote w:type="continuationSeparator" w:id="0">
    <w:p w:rsidR="0036053D" w:rsidRDefault="00360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FE" w:rsidRDefault="000859BF">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sidR="007A05BA">
      <w:rPr>
        <w:rFonts w:ascii="Times New Roman" w:hAnsi="Times New Roman" w:cs="Times New Roman"/>
        <w:noProof/>
      </w:rPr>
      <w:t>7</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3D" w:rsidRDefault="0036053D">
      <w:pPr>
        <w:spacing w:after="0" w:line="240" w:lineRule="auto"/>
      </w:pPr>
      <w:r>
        <w:separator/>
      </w:r>
    </w:p>
  </w:footnote>
  <w:footnote w:type="continuationSeparator" w:id="0">
    <w:p w:rsidR="0036053D" w:rsidRDefault="003605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BF"/>
    <w:rsid w:val="00061C48"/>
    <w:rsid w:val="000859BF"/>
    <w:rsid w:val="00153A26"/>
    <w:rsid w:val="002A3359"/>
    <w:rsid w:val="0036053D"/>
    <w:rsid w:val="003A32A5"/>
    <w:rsid w:val="004542DF"/>
    <w:rsid w:val="005739ED"/>
    <w:rsid w:val="00603F86"/>
    <w:rsid w:val="00740E2A"/>
    <w:rsid w:val="00753B41"/>
    <w:rsid w:val="00782BB9"/>
    <w:rsid w:val="007A05BA"/>
    <w:rsid w:val="0083306D"/>
    <w:rsid w:val="008E3EF1"/>
    <w:rsid w:val="00904C8A"/>
    <w:rsid w:val="00A5242A"/>
    <w:rsid w:val="00AE537A"/>
    <w:rsid w:val="00EB4DE5"/>
    <w:rsid w:val="00F62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859BF"/>
    <w:pPr>
      <w:widowControl w:val="0"/>
      <w:autoSpaceDE w:val="0"/>
      <w:autoSpaceDN w:val="0"/>
      <w:adjustRightInd w:val="0"/>
      <w:spacing w:after="0" w:line="240" w:lineRule="auto"/>
    </w:pPr>
    <w:rPr>
      <w:rFonts w:ascii="Arial" w:hAnsi="Arial" w:cs="Arial"/>
      <w:sz w:val="24"/>
      <w:szCs w:val="24"/>
    </w:rPr>
  </w:style>
  <w:style w:type="paragraph" w:styleId="Tekstdymka">
    <w:name w:val="Balloon Text"/>
    <w:basedOn w:val="Normalny"/>
    <w:link w:val="TekstdymkaZnak"/>
    <w:uiPriority w:val="99"/>
    <w:semiHidden/>
    <w:unhideWhenUsed/>
    <w:rsid w:val="00153A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3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859BF"/>
    <w:pPr>
      <w:widowControl w:val="0"/>
      <w:autoSpaceDE w:val="0"/>
      <w:autoSpaceDN w:val="0"/>
      <w:adjustRightInd w:val="0"/>
      <w:spacing w:after="0" w:line="240" w:lineRule="auto"/>
    </w:pPr>
    <w:rPr>
      <w:rFonts w:ascii="Arial" w:hAnsi="Arial" w:cs="Arial"/>
      <w:sz w:val="24"/>
      <w:szCs w:val="24"/>
    </w:rPr>
  </w:style>
  <w:style w:type="paragraph" w:styleId="Tekstdymka">
    <w:name w:val="Balloon Text"/>
    <w:basedOn w:val="Normalny"/>
    <w:link w:val="TekstdymkaZnak"/>
    <w:uiPriority w:val="99"/>
    <w:semiHidden/>
    <w:unhideWhenUsed/>
    <w:rsid w:val="00153A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3A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3667</Words>
  <Characters>22003</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6</cp:revision>
  <cp:lastPrinted>2017-11-20T09:02:00Z</cp:lastPrinted>
  <dcterms:created xsi:type="dcterms:W3CDTF">2017-09-29T11:54:00Z</dcterms:created>
  <dcterms:modified xsi:type="dcterms:W3CDTF">2017-11-20T09:43:00Z</dcterms:modified>
</cp:coreProperties>
</file>