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234017">
        <w:rPr>
          <w:rFonts w:ascii="Times New Roman" w:hAnsi="Times New Roman" w:cs="Times New Roman"/>
          <w:b/>
          <w:bCs/>
          <w:sz w:val="20"/>
          <w:szCs w:val="20"/>
        </w:rPr>
        <w:t xml:space="preserve">Załącznik nr 3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234017">
        <w:rPr>
          <w:rFonts w:ascii="Times New Roman" w:hAnsi="Times New Roman" w:cs="Times New Roman"/>
          <w:b/>
          <w:bCs/>
          <w:sz w:val="20"/>
          <w:szCs w:val="20"/>
        </w:rPr>
        <w:t>Wieloletnia Prognoza Finansowa miasta Sieradza</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234017">
        <w:rPr>
          <w:rFonts w:ascii="Times New Roman" w:hAnsi="Times New Roman" w:cs="Times New Roman"/>
        </w:rPr>
        <w:t>(objaśnienia)</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Aktualnie gospodarkę budżetowa jednostek samorządu terytorialnego szczebla gminnego regulują dwie podstawowe ustawy tj.:</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z dnia 27 sierpnia 2009 r. o finansach publicznych (tj. Dz. U. 2017 poz.2077 z poźn. zm.),</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z dnia 13 listopada 2003 r. o dochodach jednostek samorządu terytorialnego (Dz. U. z 2017  poz. 1453)</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Dochody jednostek samorządu terytorialnego zależą od wielu czynników, które można podzielić na dwie kategorie:</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czynniki wewnętrzne, na które jednostka ma wpływ,</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czynniki zewnętrzne, na które jednostka nie ma wpływu.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 czynników wewnętrznych należy przede wszystkim polityka finansowa Rady Miejskiej.</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Czynniki zewnętrzne to przede wszystkim regulacje prawne obowiązujące samorządy. Są to między innymi</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o dochodach jednostek samorządu terytorialnego,</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o finansach publicznych (w szczególności limity zadłużenia oraz wydatków na obsługę długu),</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lokalne potrzeby społeczne i uwarunkowania gospodarcze regionu.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Istotnym czynnikiem o charakterze zewnętrznym o ogromnym wpływie na finanse Miasta jest ogólna sytuacja gospodarcza kraju.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b/>
          <w:bCs/>
          <w:sz w:val="20"/>
          <w:szCs w:val="20"/>
        </w:rPr>
        <w:t>Dochody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Dochody budżetu w latach 2018 – 2024 wykazano w podziale na dochody bieżące i majątkowe:</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234017">
        <w:rPr>
          <w:rFonts w:ascii="Times New Roman" w:hAnsi="Times New Roman" w:cs="Times New Roman"/>
          <w:sz w:val="20"/>
          <w:szCs w:val="20"/>
        </w:rPr>
        <w:t>Bazą do prognoz na kolejne lata są wykonane  dochody w  2014, 2015 i 2016 oraz przewidywane wykonanie za rok 2017.</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234017">
        <w:rPr>
          <w:rFonts w:ascii="Times New Roman" w:hAnsi="Times New Roman" w:cs="Times New Roman"/>
          <w:sz w:val="20"/>
          <w:szCs w:val="20"/>
        </w:rPr>
        <w:t>I tak :</w:t>
      </w:r>
    </w:p>
    <w:p w:rsidR="00234017" w:rsidRPr="00234017" w:rsidRDefault="00234017" w:rsidP="00234017">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234017">
        <w:rPr>
          <w:rFonts w:ascii="Times New Roman" w:hAnsi="Times New Roman" w:cs="Times New Roman"/>
          <w:sz w:val="20"/>
          <w:szCs w:val="20"/>
        </w:rPr>
        <w:t xml:space="preserve">w podatkach i opłatach podstawowe pozycje to: </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Podatek od nieruchomości</w:t>
      </w:r>
      <w:r w:rsidRPr="00234017">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 xml:space="preserve">Podatek od środków transportowych - </w:t>
      </w:r>
      <w:r w:rsidRPr="00234017">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Podatek od czynności cywilnoprawnych</w:t>
      </w:r>
      <w:r w:rsidRPr="00234017">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m.in. o założone wskaźniki inflacji średniorocznej oraz dynamikę PKB. W latach objętych prognozą założono stopniowy wzrost wpływów na skutek zwiększonej liczby i wartości transakcji dokonywanych </w:t>
      </w:r>
      <w:r w:rsidRPr="00234017">
        <w:rPr>
          <w:rFonts w:ascii="Times New Roman" w:hAnsi="Times New Roman" w:cs="Times New Roman"/>
          <w:sz w:val="20"/>
          <w:szCs w:val="20"/>
        </w:rPr>
        <w:lastRenderedPageBreak/>
        <w:t>na rynku wtórnym nieruchomości oraz innych transakcji podlegających temu podatkowi.</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Wpływy z opłaty skarbowej</w:t>
      </w:r>
      <w:r w:rsidRPr="00234017">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234017" w:rsidRPr="00234017" w:rsidRDefault="00234017" w:rsidP="00234017">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234017">
        <w:rPr>
          <w:rFonts w:ascii="Times New Roman" w:hAnsi="Times New Roman" w:cs="Times New Roman"/>
          <w:b/>
          <w:bCs/>
          <w:sz w:val="20"/>
          <w:szCs w:val="20"/>
        </w:rPr>
        <w:t>Wpływy z opłaty za gospodarowanie odpadami komunalnymi</w:t>
      </w:r>
      <w:r w:rsidRPr="00234017">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udział w podatkach PIT i CIT </w:t>
      </w:r>
    </w:p>
    <w:p w:rsidR="00234017" w:rsidRPr="00234017" w:rsidRDefault="00234017" w:rsidP="00234017">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234017">
        <w:rPr>
          <w:rFonts w:ascii="Times New Roman" w:hAnsi="Times New Roman" w:cs="Times New Roman"/>
          <w:b/>
          <w:bCs/>
          <w:sz w:val="20"/>
          <w:szCs w:val="20"/>
        </w:rPr>
        <w:t>Udział we wpływach z podatku dochodowego od osób fizycznych - PIT -</w:t>
      </w:r>
      <w:r w:rsidRPr="00234017">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234017" w:rsidRPr="00234017" w:rsidRDefault="00234017" w:rsidP="00234017">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234017">
        <w:rPr>
          <w:rFonts w:ascii="Times New Roman" w:hAnsi="Times New Roman" w:cs="Times New Roman"/>
          <w:b/>
          <w:bCs/>
          <w:sz w:val="20"/>
          <w:szCs w:val="20"/>
        </w:rPr>
        <w:t xml:space="preserve">Udział we wpływach z podatku dochodowego od osób prawnych – CIT – </w:t>
      </w:r>
      <w:r w:rsidRPr="00234017">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234017" w:rsidRPr="00234017" w:rsidRDefault="00234017" w:rsidP="00234017">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jc w:val="both"/>
        <w:rPr>
          <w:rFonts w:ascii="Times New Roman" w:hAnsi="Times New Roman" w:cs="Times New Roman"/>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 </w:t>
      </w:r>
      <w:r w:rsidRPr="00234017">
        <w:rPr>
          <w:rFonts w:ascii="Times New Roman" w:hAnsi="Times New Roman" w:cs="Times New Roman"/>
          <w:b/>
          <w:bCs/>
          <w:sz w:val="20"/>
          <w:szCs w:val="20"/>
        </w:rPr>
        <w:t>Subwencje ogólne z budżetu państwa</w:t>
      </w:r>
      <w:r w:rsidRPr="00234017">
        <w:rPr>
          <w:rFonts w:ascii="Times New Roman" w:hAnsi="Times New Roman" w:cs="Times New Roman"/>
          <w:sz w:val="20"/>
          <w:szCs w:val="20"/>
        </w:rPr>
        <w:t xml:space="preserve">  - zgodnie z art. 7 ust. 1 pkt 1 ustawy z dnia 13 listopada 2003 roku o dochodach jednostek samorządu terytorialnego (t.j.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234017" w:rsidRPr="00234017" w:rsidRDefault="00234017" w:rsidP="0023401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jc w:val="both"/>
        <w:rPr>
          <w:rFonts w:ascii="Times New Roman" w:hAnsi="Times New Roman" w:cs="Times New Roman"/>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Dotacje i środki przeznaczone na cele bieżące </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234017">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oraz plan na 2018 rok  zakładając wzrost w kolejnych latach o wskaźnik inflacji. Od 2014 roku gminom przysługuje dotacja przedszkolna. Wysokość tej dotacji obliczana jest jako iloczyn kwoty rocznej </w:t>
      </w:r>
      <w:r w:rsidRPr="00234017">
        <w:rPr>
          <w:rFonts w:ascii="Times New Roman" w:hAnsi="Times New Roman" w:cs="Times New Roman"/>
          <w:sz w:val="20"/>
          <w:szCs w:val="20"/>
        </w:rPr>
        <w:lastRenderedPageBreak/>
        <w:t>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Zgodnie z otrzymaną informacją z tego tytułu winno wpłynąć do budżetu miasta: 2018 – 1.454.940,00 zł, a w następnych latach przyjęto wzrost o wskaźnik inflacji.</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Pozostałe dotacje i środki przeznaczone na cele bieżące</w:t>
      </w:r>
      <w:r w:rsidRPr="00234017">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hanging="360"/>
        <w:jc w:val="both"/>
        <w:rPr>
          <w:rFonts w:ascii="Times New Roman" w:hAnsi="Times New Roman" w:cs="Times New Roman"/>
          <w:sz w:val="20"/>
          <w:szCs w:val="20"/>
        </w:rPr>
      </w:pPr>
      <w:r w:rsidRPr="00234017">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Głównym źródłem </w:t>
      </w:r>
      <w:r w:rsidRPr="00234017">
        <w:rPr>
          <w:rFonts w:ascii="Times New Roman" w:hAnsi="Times New Roman" w:cs="Times New Roman"/>
          <w:b/>
          <w:bCs/>
          <w:sz w:val="20"/>
          <w:szCs w:val="20"/>
        </w:rPr>
        <w:t>dochodów majątkowych</w:t>
      </w:r>
      <w:r w:rsidRPr="00234017">
        <w:rPr>
          <w:rFonts w:ascii="Times New Roman" w:hAnsi="Times New Roman" w:cs="Times New Roman"/>
          <w:sz w:val="20"/>
          <w:szCs w:val="20"/>
        </w:rPr>
        <w:t xml:space="preserve"> są dochody ze sprzedaży majątku.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Dochody z tego tytułu zależą przede wszystkim od:</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posiadanego przez jednostkę mienia,</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koniunktury na rynku,</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atrakcyjności ofert sprzedaży.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utrzymanie na obecnym poziomie dochodów z tytułu sprzedaży mieszkań,</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sukcesywny wzrost dochodów z tytułu sprzedaży nieruchomości.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Ponadto w roku 2018 zgodnie z podpisanymi umowami przewiduje się wpływ dotacji i środków przeznaczonych na realizację inwestycji w kwocie 16 419 866,06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 Wojewódzkiego Funduszu Ochrony Środowiska i Gospodarki Wodnej w Łodzi – 1 353 677,41 zł na realizację projektu pn.”Poprawa jakości powietrza w Sieradzu poprzez ograniczenie niskiej emisji zanieczyszczeń z lokalnych źródeł ciepła”,</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 Funduszu Rozwoju Kultury Fizycznej w Warszawie – 700 000,00 zł na realizację projektu pn.”Przebudowa obiektów sportowych wraz z infrastrukturą towarzyszącą na stadionie MOSiR w Sieradzu – etap II”,</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234017">
        <w:rPr>
          <w:rFonts w:ascii="Times New Roman" w:hAnsi="Times New Roman" w:cs="Times New Roman"/>
        </w:rPr>
        <w:t xml:space="preserve"> </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„e-Sieradz. Elektroniczne usługi dla mieszkańców” w ramach Regionalnego Programu Operacyjnego Województwa Łódzkiego na lata 2014-2020 – 504 475,00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„Integracja różnych systemów transportu zbiorowego poprzez rozbudowę węzłów przesiadkowych w województwie łódzkim” w ramach Regionalnego Programu Operacyjnego Województwa Łódzkiego na lata 2014-2020 – 1 148 654,98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„Ziemia sieradzka regionalnym biegunem wzrostu gospodarczego” - w ramach Regionalnego Programu Operacyjnego Województwa Łódzkiego na lata 2014-2020 – 192 525,00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„Poszerzamy horyzonty” – w ramach Europejskiego Funduszu Społecznego – 12 100,00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„Zaprogramuj swoją przyszłość” w ramach Programu Erasmus+ - 7 765,67 zł.</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b/>
          <w:bCs/>
          <w:sz w:val="20"/>
          <w:szCs w:val="20"/>
        </w:rPr>
        <w:t>Wydatki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 szczególności zadania własne obejmują sprawy:</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ładu przestrzennego, gospodarki nieruchomościami, ochrony środowiska i przyrody oraz gospodarki </w:t>
      </w:r>
      <w:r w:rsidRPr="00234017">
        <w:rPr>
          <w:rFonts w:ascii="Times New Roman" w:hAnsi="Times New Roman" w:cs="Times New Roman"/>
          <w:sz w:val="20"/>
          <w:szCs w:val="20"/>
        </w:rPr>
        <w:lastRenderedPageBreak/>
        <w:t>wodnej,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gminnych dróg, ulic, mostów, placów oraz organizacji ruchu drogowego,</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gospodarki odpadami komunalnymi.</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lokalnego transportu zbiorowego,</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ochrony zdrowia,</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pomocy społecznej, w tym ośrodków i zakładów opiekuńczych,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gminnego budownictwa mieszkaniowego,</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edukacji publicznej,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kultury, w tym bibliotek gminnych i innych placówek upowszechniania kultury,</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kultury fizycznej i turystyki, w tym terenów rekreacyjnych i urządzeń sportowych,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targowisk i hal targowych,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zieleni gminnej i zadrzewień,</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cmentarzy gminnych,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porządku publicznego i bezpieczeństwa obywateli oraz ochrony przeciwpożarowej i przeciwpowodziowej,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utrzymania gminnych obiektów i urządzeń użyteczności publicznej oraz obiektów administracyjnych,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polityki prorodzinnej, w tym zapewnienia kobietom w ciąży opieki socjalnej, medycznej i prawnej,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wspierania i upowszechniania idei samorządowej,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promocji gminy,</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współpracy z organizacjami pozarządowymi, ze społecznościami lokalnymi i regionalnymi innych państw.</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Sp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b/>
          <w:bCs/>
          <w:sz w:val="20"/>
          <w:szCs w:val="20"/>
        </w:rPr>
        <w:t>Informacje o zaciągniętych zobowiązaniach finansowych z tytułu kredytów i pożyczek</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Na podstawie art. 89 ust. 1 ustawy z dnia 27 sierpnia 2009 r. o finansach publicznych (t.j. Dz. U. 2017 poz. 2077), jednostki samorządu terytorialnego mogą zaciągać kredyty, pożyczki oraz emitować papiery wartościowe na:</w:t>
      </w:r>
    </w:p>
    <w:p w:rsidR="00234017" w:rsidRPr="00234017" w:rsidRDefault="00234017" w:rsidP="00234017">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pokrycie występującego w ciągu roku przejściowego deficytu budżetu jednostki samorządu terytorialnego;</w:t>
      </w:r>
    </w:p>
    <w:p w:rsidR="00234017" w:rsidRPr="00234017" w:rsidRDefault="00234017" w:rsidP="00234017">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finansowanie planowanego deficytu budżetu jednostki samorządu terytorialnego;</w:t>
      </w:r>
    </w:p>
    <w:p w:rsidR="00234017" w:rsidRPr="00234017" w:rsidRDefault="00234017" w:rsidP="00234017">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spłatę wcześniej zaciągniętych zobowiązań z tytułu emisji papierów wartościowych oraz zaciągniętych pożyczek i kredytów.</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Finansowanie takie nie powinno dotyczyć wydatków stałych, związanych z wykonywaniem bieżących zadań samorządu.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Przewidywane zadłużenie na dzień 31 grudnia 2017 r. Miasta Sieradza będzie wynosiło 29 582 254,00 zł. W roku 2018 planowana jest emisja obligacji komunalnych na kwotę 15 500 000,00 zł.</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 związku z realizacja projektu współfinansowanego z Funduszu Spójności pn. System wodociągowy i kanalizacyjny w Sieradzu w roku 2008 dokonano poręczenia pożyczki zaciągniętej przez Miejskie Przedsiębiorstwo Wodociągów i Kanalizacji Sp z o.o. w Sieradzu w Wojewódzkim Funduszu Ochrony Środowiska i Gospodarki Wodnej w Łodzi na dofinansowanie w/w zadania. Łączna kwota poręczenia 18 713 839,22 zł. Zgodnie z podpisanym aneksem w poszczególnych latach przedstawia się następująco:</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234017" w:rsidRPr="00234017">
        <w:tc>
          <w:tcPr>
            <w:tcW w:w="508" w:type="dxa"/>
            <w:tcBorders>
              <w:top w:val="single" w:sz="4" w:space="0" w:color="auto"/>
              <w:left w:val="single" w:sz="4" w:space="0" w:color="auto"/>
              <w:bottom w:val="single" w:sz="4" w:space="0" w:color="auto"/>
              <w:right w:val="single" w:sz="4" w:space="0" w:color="auto"/>
            </w:tcBorders>
            <w:vAlign w:val="center"/>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234017">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234017">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234017">
              <w:rPr>
                <w:rFonts w:ascii="Times New Roman" w:hAnsi="Times New Roman" w:cs="Times New Roman"/>
                <w:sz w:val="20"/>
                <w:szCs w:val="20"/>
              </w:rPr>
              <w:t>Wysokość poręczenia w roku (w  zł)</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Times New Roman" w:hAnsi="Times New Roman" w:cs="Times New Roman"/>
                <w:sz w:val="20"/>
                <w:szCs w:val="20"/>
              </w:rPr>
              <w:t>1 103 118,32</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2 166 203,26</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2 117 871,90</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2 070 445,36</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2 021 209,13</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1 972 877,75</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1 924 546,34</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1 876 590,15</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234017">
              <w:rPr>
                <w:rFonts w:ascii="Calibri" w:hAnsi="Calibri" w:cs="Calibri"/>
                <w:sz w:val="20"/>
                <w:szCs w:val="20"/>
              </w:rPr>
              <w:t>1 827 883,57</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234017">
              <w:rPr>
                <w:rFonts w:ascii="Times New Roman" w:hAnsi="Times New Roman" w:cs="Times New Roman"/>
                <w:sz w:val="20"/>
                <w:szCs w:val="20"/>
              </w:rPr>
              <w:t>1 633 093,44</w:t>
            </w:r>
          </w:p>
        </w:tc>
      </w:tr>
      <w:tr w:rsidR="00234017" w:rsidRPr="00234017">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234017">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234017">
              <w:rPr>
                <w:rFonts w:ascii="Times New Roman" w:hAnsi="Times New Roman" w:cs="Times New Roman"/>
                <w:sz w:val="20"/>
                <w:szCs w:val="20"/>
              </w:rPr>
              <w:t>18 713 839,22</w:t>
            </w:r>
          </w:p>
        </w:tc>
      </w:tr>
    </w:tbl>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Pożyczka spłacana jest na bieżąco.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Wydatki z tytułu niewymagalnych poręczeń i gwarancji wykraczające poza okres na który została opracowania wieloletnia prognoza finansowa wynoszą 3 460 977,01 zł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234017" w:rsidRPr="00234017" w:rsidRDefault="00234017" w:rsidP="00234017">
      <w:pPr>
        <w:widowControl w:val="0"/>
        <w:autoSpaceDE w:val="0"/>
        <w:autoSpaceDN w:val="0"/>
        <w:adjustRightInd w:val="0"/>
        <w:spacing w:after="0" w:line="240" w:lineRule="auto"/>
        <w:rPr>
          <w:rFonts w:ascii="Times New Roman" w:hAnsi="Times New Roman" w:cs="Times New Roman"/>
          <w:sz w:val="20"/>
          <w:szCs w:val="20"/>
        </w:rPr>
      </w:pPr>
    </w:p>
    <w:p w:rsidR="00061C48" w:rsidRDefault="00061C48">
      <w:bookmarkStart w:id="0" w:name="_GoBack"/>
      <w:bookmarkEnd w:id="0"/>
    </w:p>
    <w:sectPr w:rsidR="00061C48" w:rsidSect="005D695D">
      <w:footerReference w:type="default" r:id="rId6"/>
      <w:pgSz w:w="11906" w:h="16838"/>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5D" w:rsidRDefault="00234017">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Pr>
        <w:rFonts w:ascii="Times New Roman" w:hAnsi="Times New Roman" w:cs="Times New Roman"/>
        <w:noProof/>
      </w:rPr>
      <w:t>2</w:t>
    </w:r>
    <w:r>
      <w:rPr>
        <w:rFonts w:ascii="Times New Roman" w:hAnsi="Times New Roman" w:cs="Times New Roma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017"/>
    <w:rsid w:val="00061C48"/>
    <w:rsid w:val="00234017"/>
    <w:rsid w:val="002A3359"/>
    <w:rsid w:val="004542DF"/>
    <w:rsid w:val="005739ED"/>
    <w:rsid w:val="00603F86"/>
    <w:rsid w:val="00740E2A"/>
    <w:rsid w:val="00753B41"/>
    <w:rsid w:val="00782BB9"/>
    <w:rsid w:val="00805A1D"/>
    <w:rsid w:val="0083306D"/>
    <w:rsid w:val="008E3EF1"/>
    <w:rsid w:val="00A5242A"/>
    <w:rsid w:val="00EB4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234017"/>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234017"/>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2679</Words>
  <Characters>16080</Characters>
  <Application>Microsoft Office Word</Application>
  <DocSecurity>0</DocSecurity>
  <Lines>134</Lines>
  <Paragraphs>37</Paragraphs>
  <ScaleCrop>false</ScaleCrop>
  <Company/>
  <LinksUpToDate>false</LinksUpToDate>
  <CharactersWithSpaces>18722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2</cp:revision>
  <dcterms:created xsi:type="dcterms:W3CDTF">2018-05-21T11:43:00Z</dcterms:created>
  <dcterms:modified xsi:type="dcterms:W3CDTF">2018-05-21T11:43:00Z</dcterms:modified>
</cp:coreProperties>
</file>