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234017">
        <w:rPr>
          <w:rFonts w:ascii="Times New Roman" w:hAnsi="Times New Roman" w:cs="Times New Roman"/>
          <w:b/>
          <w:bCs/>
          <w:sz w:val="20"/>
          <w:szCs w:val="20"/>
        </w:rPr>
        <w:t xml:space="preserve">Załącznik nr 3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234017">
        <w:rPr>
          <w:rFonts w:ascii="Times New Roman" w:hAnsi="Times New Roman" w:cs="Times New Roman"/>
          <w:b/>
          <w:bCs/>
          <w:sz w:val="20"/>
          <w:szCs w:val="20"/>
        </w:rPr>
        <w:t>Wieloletnia Prognoza Finansowa miasta Sieradza</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234017">
        <w:rPr>
          <w:rFonts w:ascii="Times New Roman" w:hAnsi="Times New Roman" w:cs="Times New Roman"/>
        </w:rPr>
        <w:t>(objaśnienia)</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Aktualnie gospodarkę budżetowa jednostek samorządu terytorialnego szczebla gminnego regulują dwie podstawowe ustawy tj.:</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ustawa z dnia 27 sierpnia 2009 r. o finansach publicznych (tj. Dz. U. 2017 poz.2077 z </w:t>
      </w:r>
      <w:proofErr w:type="spellStart"/>
      <w:r w:rsidRPr="00234017">
        <w:rPr>
          <w:rFonts w:ascii="Times New Roman" w:hAnsi="Times New Roman" w:cs="Times New Roman"/>
          <w:sz w:val="20"/>
          <w:szCs w:val="20"/>
        </w:rPr>
        <w:t>poźn</w:t>
      </w:r>
      <w:proofErr w:type="spellEnd"/>
      <w:r w:rsidRPr="00234017">
        <w:rPr>
          <w:rFonts w:ascii="Times New Roman" w:hAnsi="Times New Roman" w:cs="Times New Roman"/>
          <w:sz w:val="20"/>
          <w:szCs w:val="20"/>
        </w:rPr>
        <w:t>. zm.),</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ustawa z dnia 13 listopada 2003 r. o dochodach jednostek samorządu terytorialnego (Dz. U. z 2017  poz. 1453)</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Dochody jednostek samorządu terytorialnego zależą od wielu czynników, które można podzielić na dwie kategorie:</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czynniki wewnętrzne, na które jednostka ma wpływ,</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czynniki zewnętrzne, na które jednostka nie ma wpływu.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 czynników wewnętrznych należy przede wszystkim polityka finansowa Rady Miejskiej.</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Czynniki zewnętrzne to przede wszystkim regulacje prawne obowiązujące samorządy. Są to między innymi</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ustawa o dochodach jednostek samorządu terytorialnego,</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ustawa o finansach publicznych (w szczególności limity zadłużenia oraz wydatków na obsługę długu),</w:t>
      </w:r>
    </w:p>
    <w:p w:rsidR="00234017" w:rsidRPr="00234017" w:rsidRDefault="00234017" w:rsidP="00234017">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lokalne potrzeby społeczne i uwarunkowania gospodarcze regionu.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Istotnym czynnikiem o charakterze zewnętrznym o ogromnym wpływie na finanse Miasta jest ogólna sytuacja gospodarcza kraju.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Wieloletnia prognoza finansowa miasta Sieradza (WPF) opracowana została w głównej mierze w oparciu o założenia wskaźnikowe przyjęte przez Ministerstwo Finansów. W szczególności wykorzystano dane makroekonomiczne dotyczące prognoz w zakresie dynamiki Produktu Krajowego Brutto (PBK) oraz kształtowania średniorocznej dynamiki cen towarów i usług konsumpcyjnych (inflacji).</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Dla potrzeb wieloletniej prognozy finansowej przyjęto dynamikę cen towarów i usług konsumpcyjnych w I półroczu roku poprzedzającego rok budżetowy w stosunku do I półrocza roku budżetowego, która zgodnie z ustawą o podatkach i opłatach lokalnych stanowi podstawę do przeszacowania stawek maksymalnych podatków i opłat lokalnych w roku budżetowym oraz zaprogramowano stawkę ceny pieniądza na rynku międzybankowym (WIBOR6M), która stanowi podstawę do wyliczenia kosztów odsetek od zadłużenia.</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234017">
        <w:rPr>
          <w:rFonts w:ascii="Times New Roman" w:hAnsi="Times New Roman" w:cs="Times New Roman"/>
          <w:b/>
          <w:bCs/>
          <w:sz w:val="20"/>
          <w:szCs w:val="20"/>
        </w:rPr>
        <w:t>Dochody</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Dochody budżetu w latach 2018 – 2024 wykazano w podziale na dochody bieżące i majątkowe:</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Głównymi źródłami dochodów bieżących, mającymi najistotniejszy wpływ na gospodarkę finansową są: dochody podatkowe i wpływy z opłat, subwencje, dotacje oraz udziały w podatkach PIT i CIT.</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234017">
        <w:rPr>
          <w:rFonts w:ascii="Times New Roman" w:hAnsi="Times New Roman" w:cs="Times New Roman"/>
          <w:sz w:val="20"/>
          <w:szCs w:val="20"/>
        </w:rPr>
        <w:t>Bazą do prognoz na kolejne lata są wykonane  dochody w  2014, 2015 i 2016 oraz przewidywane wykonanie za rok 2017.</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234017">
        <w:rPr>
          <w:rFonts w:ascii="Times New Roman" w:hAnsi="Times New Roman" w:cs="Times New Roman"/>
          <w:sz w:val="20"/>
          <w:szCs w:val="20"/>
        </w:rPr>
        <w:t>I tak :</w:t>
      </w:r>
    </w:p>
    <w:p w:rsidR="00234017" w:rsidRPr="00234017" w:rsidRDefault="00234017" w:rsidP="00234017">
      <w:pPr>
        <w:widowControl w:val="0"/>
        <w:numPr>
          <w:ilvl w:val="0"/>
          <w:numId w:val="2"/>
        </w:numPr>
        <w:tabs>
          <w:tab w:val="left" w:pos="35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4"/>
        <w:jc w:val="both"/>
        <w:rPr>
          <w:rFonts w:ascii="Times New Roman" w:hAnsi="Times New Roman" w:cs="Times New Roman"/>
          <w:sz w:val="20"/>
          <w:szCs w:val="20"/>
        </w:rPr>
      </w:pPr>
      <w:r w:rsidRPr="00234017">
        <w:rPr>
          <w:rFonts w:ascii="Times New Roman" w:hAnsi="Times New Roman" w:cs="Times New Roman"/>
          <w:sz w:val="20"/>
          <w:szCs w:val="20"/>
        </w:rPr>
        <w:t xml:space="preserve">w podatkach i opłatach podstawowe pozycje to: </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Podatek od nieruchomości</w:t>
      </w:r>
      <w:r w:rsidRPr="00234017">
        <w:rPr>
          <w:rFonts w:ascii="Times New Roman" w:hAnsi="Times New Roman" w:cs="Times New Roman"/>
          <w:sz w:val="20"/>
          <w:szCs w:val="20"/>
        </w:rPr>
        <w:t xml:space="preserve"> – w roku 2018 oraz kolejnych zakłada się kontynuowanie wzrostowego trendu wpływów z tego źródła. Dochody z podatku od nieruchomości zostały oszacowane w oparciu m.in. o założone w kolejnych latach wskaźniki inflacji średniorocznej oraz dynamikę PKB. W latach objętych prognozą założono coroczny wzrost wpływów, będący pochodną planowanego corocznego wzrostu stawek podatkowych, corocznego przyrostu podstaw opodatkowania oraz utrzymanie na wysokim poziomie ściągalności należności podatkowych m.in. poprzez czynności windykacyjne.</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 xml:space="preserve">Podatek od środków transportowych - </w:t>
      </w:r>
      <w:r w:rsidRPr="00234017">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 Z uwagi na niewielki wzrost ilości pojazdów podatek ten tylko nieznacznie ulega zwiększeniu.</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Podatek od czynności cywilnoprawnych</w:t>
      </w:r>
      <w:r w:rsidRPr="00234017">
        <w:rPr>
          <w:rFonts w:ascii="Times New Roman" w:hAnsi="Times New Roman" w:cs="Times New Roman"/>
          <w:sz w:val="20"/>
          <w:szCs w:val="20"/>
        </w:rPr>
        <w:t xml:space="preserve"> – wpływy tego podatku wynikają z ustawy z dnia 9 września 2000 roku o podatku od czynności cywilnoprawnych (Dz.U. z 2017 r. poz. 1150). Dochody  z podatku od czynności cywilnoprawnych ustalono przyjmując podstawę wykonanie dochodów z tego tytułu  w  roku  2014, 2015, 2016 i przewidywane wykonanie w 2017, następnie przeszacowano je w oparciu m.in. o założone wskaźniki inflacji średniorocznej oraz dynamikę PKB. W latach objętych prognozą założono stopniowy wzrost wpływów na skutek zwiększonej liczby i wartości transakcji dokonywanych </w:t>
      </w:r>
      <w:r w:rsidRPr="00234017">
        <w:rPr>
          <w:rFonts w:ascii="Times New Roman" w:hAnsi="Times New Roman" w:cs="Times New Roman"/>
          <w:sz w:val="20"/>
          <w:szCs w:val="20"/>
        </w:rPr>
        <w:lastRenderedPageBreak/>
        <w:t>na rynku wtórnym nieruchomości oraz innych transakcji podlegających temu podatkowi.</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Wpływy z opłaty skarbowej</w:t>
      </w:r>
      <w:r w:rsidRPr="00234017">
        <w:rPr>
          <w:rFonts w:ascii="Times New Roman" w:hAnsi="Times New Roman" w:cs="Times New Roman"/>
          <w:sz w:val="20"/>
          <w:szCs w:val="20"/>
        </w:rPr>
        <w:t xml:space="preserve"> - obowiązek zapłaty opłaty skarbowej wynika z ustawy z dnia 16 listopada 2006 roku o opłacie skarbowej (Dz. U z 2016 r. poz. 1827 z późn.zm.) i ciąży na osobach fizycznych, osobach prawnych i jednostkach organizacyjnych nieposiadających osobowości prawnej, dokonujących  czynności wymienionych w ustawie. Dochody z tytułu wpływów z opłaty skarbowej na prognozowane lata przyjęto na poziomie kwoty wykonania za lata  2014, 2015, 2016  i przewidywane wykonanie w 2017 r zakładając w kolejnych latach wzrost o wskaźnik inflacji.</w:t>
      </w:r>
    </w:p>
    <w:p w:rsidR="00234017" w:rsidRPr="00234017" w:rsidRDefault="00234017" w:rsidP="00234017">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234017">
        <w:rPr>
          <w:rFonts w:ascii="Times New Roman" w:hAnsi="Times New Roman" w:cs="Times New Roman"/>
          <w:b/>
          <w:bCs/>
          <w:sz w:val="20"/>
          <w:szCs w:val="20"/>
        </w:rPr>
        <w:t>Wpływy z opłaty za gospodarowanie odpadami komunalnymi</w:t>
      </w:r>
      <w:r w:rsidRPr="00234017">
        <w:rPr>
          <w:rFonts w:ascii="Times New Roman" w:hAnsi="Times New Roman" w:cs="Times New Roman"/>
          <w:sz w:val="20"/>
          <w:szCs w:val="20"/>
        </w:rPr>
        <w:t xml:space="preserve">  - 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udział w podatkach PIT i CIT </w:t>
      </w:r>
    </w:p>
    <w:p w:rsidR="00234017" w:rsidRPr="00234017" w:rsidRDefault="00234017" w:rsidP="00234017">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234017">
        <w:rPr>
          <w:rFonts w:ascii="Times New Roman" w:hAnsi="Times New Roman" w:cs="Times New Roman"/>
          <w:b/>
          <w:bCs/>
          <w:sz w:val="20"/>
          <w:szCs w:val="20"/>
        </w:rPr>
        <w:t>Udział we wpływach z podatku dochodowego od osób fizycznych - PIT -</w:t>
      </w:r>
      <w:r w:rsidRPr="00234017">
        <w:rPr>
          <w:rFonts w:ascii="Times New Roman" w:hAnsi="Times New Roman" w:cs="Times New Roman"/>
          <w:sz w:val="20"/>
          <w:szCs w:val="20"/>
        </w:rPr>
        <w:t>wpływy z tego tytułu w kolejnych latach zostały ustalone w opar m.in. o założone wskaźniki inflacji średniorocznej oraz dynamiki PKB. Prognozując kwoty dochodów z tytułu PIT uwzględniono m.in. prognozowane skutki zmian w wysokości udziałów w PIT wynikające z art. 89 ustawy o dochodach jednostek samorządu terytorialnego oraz skutki wynikające z migracji mieszkańców, co w ostatecznym rozrachunku wpływa na wysokość bazy podatkowej. W prognozie przyjęto założenie o niezmienności stawek podatkowych oraz wysokości udziału Miasta we wpływach (z wyłączeniem zmian wynikających z art. 89 ustawy o dochodach jednostek samorządu terytorialnego).</w:t>
      </w:r>
    </w:p>
    <w:p w:rsidR="00234017" w:rsidRPr="00234017" w:rsidRDefault="00234017" w:rsidP="00234017">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234017">
        <w:rPr>
          <w:rFonts w:ascii="Times New Roman" w:hAnsi="Times New Roman" w:cs="Times New Roman"/>
          <w:b/>
          <w:bCs/>
          <w:sz w:val="20"/>
          <w:szCs w:val="20"/>
        </w:rPr>
        <w:t xml:space="preserve">Udział we wpływach z podatku dochodowego od osób prawnych – CIT – </w:t>
      </w:r>
      <w:r w:rsidRPr="00234017">
        <w:rPr>
          <w:rFonts w:ascii="Times New Roman" w:hAnsi="Times New Roman" w:cs="Times New Roman"/>
          <w:sz w:val="20"/>
          <w:szCs w:val="20"/>
        </w:rPr>
        <w:t>dochody z tego tytułu należą do najbardziej wrażliwych na wahania koniunktury. Wpływy z tytułu udziału w podatku dochodowym od osób prawnych zostały zaplanowane w oparciu o wykonanie za lata 2015 i 2016 i przewidywane wykonanie za 2017 rok, a w kolejnych latach przeszacowane o założone wskaźniki inflacji średniorocznej oraz dynamikę PKB. W prognozie założono niezmienność stawek podatkowych oraz wysokości udziału Miasta we wpływach. Nowo otwarte podmioty opłacać będą podatek CIT, który zwiększy wpływy do budżetu.</w:t>
      </w:r>
    </w:p>
    <w:p w:rsidR="00234017" w:rsidRPr="00234017" w:rsidRDefault="00234017" w:rsidP="00234017">
      <w:pPr>
        <w:widowControl w:val="0"/>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jc w:val="both"/>
        <w:rPr>
          <w:rFonts w:ascii="Times New Roman" w:hAnsi="Times New Roman" w:cs="Times New Roman"/>
          <w:sz w:val="20"/>
          <w:szCs w:val="20"/>
        </w:rPr>
      </w:pPr>
    </w:p>
    <w:p w:rsidR="00234017" w:rsidRPr="00234017" w:rsidRDefault="00234017" w:rsidP="00234017">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 </w:t>
      </w:r>
      <w:r w:rsidRPr="00234017">
        <w:rPr>
          <w:rFonts w:ascii="Times New Roman" w:hAnsi="Times New Roman" w:cs="Times New Roman"/>
          <w:b/>
          <w:bCs/>
          <w:sz w:val="20"/>
          <w:szCs w:val="20"/>
        </w:rPr>
        <w:t>Subwencje ogólne z budżetu państwa</w:t>
      </w:r>
      <w:r w:rsidRPr="00234017">
        <w:rPr>
          <w:rFonts w:ascii="Times New Roman" w:hAnsi="Times New Roman" w:cs="Times New Roman"/>
          <w:sz w:val="20"/>
          <w:szCs w:val="20"/>
        </w:rPr>
        <w:t xml:space="preserve">  - zgodnie z art. 7 ust. 1 pkt 1 ustawy z dnia 13 listopada 2003 roku o dochodach jednostek samorządu terytorialnego (</w:t>
      </w:r>
      <w:proofErr w:type="spellStart"/>
      <w:r w:rsidRPr="00234017">
        <w:rPr>
          <w:rFonts w:ascii="Times New Roman" w:hAnsi="Times New Roman" w:cs="Times New Roman"/>
          <w:sz w:val="20"/>
          <w:szCs w:val="20"/>
        </w:rPr>
        <w:t>t.j</w:t>
      </w:r>
      <w:proofErr w:type="spellEnd"/>
      <w:r w:rsidRPr="00234017">
        <w:rPr>
          <w:rFonts w:ascii="Times New Roman" w:hAnsi="Times New Roman" w:cs="Times New Roman"/>
          <w:sz w:val="20"/>
          <w:szCs w:val="20"/>
        </w:rPr>
        <w:t>. Dz. U. z 2017 r. poz. 1453)  subwencja ogólna dla gmin składa się z trzech części: wyrównawczej, równoważącej, oświatowej. Miastu Sieradz przysługuje tylko część oświatowa, którą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 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 Dochody  w  tej pozycji zostały zaplanowane w oparciu o wykonanie za lata 2015 i 2016 i przewidywane wykonanie za 2017 rok, a w kolejnych latach przeszacowane o założone wskaźniki inflacji średniorocznej oraz dynamikę PKB.</w:t>
      </w:r>
    </w:p>
    <w:p w:rsidR="00234017" w:rsidRPr="00234017" w:rsidRDefault="00234017" w:rsidP="00234017">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jc w:val="both"/>
        <w:rPr>
          <w:rFonts w:ascii="Times New Roman" w:hAnsi="Times New Roman" w:cs="Times New Roman"/>
          <w:sz w:val="20"/>
          <w:szCs w:val="20"/>
        </w:rPr>
      </w:pPr>
    </w:p>
    <w:p w:rsidR="00234017" w:rsidRPr="00234017" w:rsidRDefault="00234017" w:rsidP="00234017">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Dotacje i środki przeznaczone na cele bieżące </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234017">
        <w:rPr>
          <w:rFonts w:ascii="Times New Roman" w:hAnsi="Times New Roman" w:cs="Times New Roman"/>
          <w:sz w:val="20"/>
          <w:szCs w:val="20"/>
        </w:rPr>
        <w:t xml:space="preserve"> - Jednostki samorządu terytorialnego corocznie w terminie do 25 października otrzymują informacje od dysponentów części budżetowych o kwotach dotacji na zadania z zakresu administracji rządowej w myśl art. 143 ust. 1 ustawy z dnia 27 sierpnia 2009 r. o finansach publicznych. Prognozę wpływów z tego tytułu w latach następnych ustalono przyjmując  za podstawę wykonanie za lata 2015, 2016 i 2017 oraz plan na 2018 rok  zakładając wzrost w kolejnych latach o wskaźnik inflacji. Od 2014 roku gminom przysługuje dotacja przedszkolna. Wysokość tej dotacji obliczana jest jako iloczyn kwoty rocznej </w:t>
      </w:r>
      <w:r w:rsidRPr="00234017">
        <w:rPr>
          <w:rFonts w:ascii="Times New Roman" w:hAnsi="Times New Roman" w:cs="Times New Roman"/>
          <w:sz w:val="20"/>
          <w:szCs w:val="20"/>
        </w:rPr>
        <w:lastRenderedPageBreak/>
        <w:t>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 Zgodnie z otrzymaną informacją z tego tytułu winno wpłynąć do budżetu miasta: 2018 – 1.454.940,00 zł, a w następnych latach przyjęto wzrost o wskaźnik inflacji.</w:t>
      </w:r>
    </w:p>
    <w:p w:rsidR="00234017" w:rsidRPr="00234017" w:rsidRDefault="00234017" w:rsidP="00234017">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b/>
          <w:bCs/>
          <w:sz w:val="20"/>
          <w:szCs w:val="20"/>
        </w:rPr>
        <w:t>Pozostałe dotacje i środki przeznaczone na cele bieżące</w:t>
      </w:r>
      <w:r w:rsidRPr="00234017">
        <w:rPr>
          <w:rFonts w:ascii="Times New Roman" w:hAnsi="Times New Roman" w:cs="Times New Roman"/>
          <w:sz w:val="20"/>
          <w:szCs w:val="20"/>
        </w:rPr>
        <w:t xml:space="preserve"> – W pozycji tej znajdują się dochody z tytułu: środków zagranicznych  oraz innych źródeł przeznaczone na realizacje zadań realizowanych przy udziale środków zagranicznych, dotacji celowych i pomocy finansowej od innych jednostek samorządu terytorialnego oraz środków z innych źródeł (WFOŚ i itp.). W prognozie w pozycji tej ujęto tylko dochody na realizację projektów gdzie zostały podpisane umowy.</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234017" w:rsidRPr="00234017" w:rsidRDefault="00234017" w:rsidP="00234017">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hanging="360"/>
        <w:jc w:val="both"/>
        <w:rPr>
          <w:rFonts w:ascii="Times New Roman" w:hAnsi="Times New Roman" w:cs="Times New Roman"/>
          <w:sz w:val="20"/>
          <w:szCs w:val="20"/>
        </w:rPr>
      </w:pPr>
      <w:r w:rsidRPr="00234017">
        <w:rPr>
          <w:rFonts w:ascii="Times New Roman" w:hAnsi="Times New Roman" w:cs="Times New Roman"/>
          <w:sz w:val="20"/>
          <w:szCs w:val="20"/>
        </w:rPr>
        <w:t>Pozostałe dochody bieżące - W przypadku pozostałych dochodów Miasta Sieradz stanowiących około 10% wartości całkowitych dochodów założono, iż będą one w większości przypadków wzrastać w kolejnych latach zgodnie ze wskaźnikiem inflacji</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Głównym źródłem </w:t>
      </w:r>
      <w:r w:rsidRPr="00234017">
        <w:rPr>
          <w:rFonts w:ascii="Times New Roman" w:hAnsi="Times New Roman" w:cs="Times New Roman"/>
          <w:b/>
          <w:bCs/>
          <w:sz w:val="20"/>
          <w:szCs w:val="20"/>
        </w:rPr>
        <w:t>dochodów majątkowych</w:t>
      </w:r>
      <w:r w:rsidRPr="00234017">
        <w:rPr>
          <w:rFonts w:ascii="Times New Roman" w:hAnsi="Times New Roman" w:cs="Times New Roman"/>
          <w:sz w:val="20"/>
          <w:szCs w:val="20"/>
        </w:rPr>
        <w:t xml:space="preserve"> są dochody ze sprzedaży majątku.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234017">
        <w:rPr>
          <w:rFonts w:ascii="Times New Roman" w:hAnsi="Times New Roman" w:cs="Times New Roman"/>
          <w:sz w:val="20"/>
          <w:szCs w:val="20"/>
        </w:rPr>
        <w:t>Prognozowane dochody z tego tytułu zakładają kontynuację sprzedaży lokali mieszkalnych na rzecz najemców, sprzedaż działek pod zabudowę mieszkaniową, lokali w przetargu nieograniczonym, jak również sprzedaż terenów inwestycyjnych.</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Dochody z tego tytułu zależą przede wszystkim od:</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posiadanego przez jednostkę mienia,</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koniunktury na rynku,</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atrakcyjności ofert sprzedaży.</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utrzymanie na obecnym poziomie dochodów z tytułu sprzedaży mieszkań,</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sukcesywny wzrost dochodów z tytułu sprzedaży nieruchomości.</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Ponadto w roku 2018 zgodnie z podpisanymi umowami przewiduje się wpływ dotacji i środków przeznaczonych na realizację inwestycji w kwocie 16 419 866,06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z Wojewódzkiego Funduszu Ochrony Środowiska i Gospodarki Wodnej w Łodzi – 1 353 677,41 zł na realizację projektu </w:t>
      </w:r>
      <w:proofErr w:type="spellStart"/>
      <w:r w:rsidRPr="00234017">
        <w:rPr>
          <w:rFonts w:ascii="Times New Roman" w:hAnsi="Times New Roman" w:cs="Times New Roman"/>
          <w:sz w:val="20"/>
          <w:szCs w:val="20"/>
        </w:rPr>
        <w:t>pn</w:t>
      </w:r>
      <w:proofErr w:type="spellEnd"/>
      <w:r w:rsidRPr="00234017">
        <w:rPr>
          <w:rFonts w:ascii="Times New Roman" w:hAnsi="Times New Roman" w:cs="Times New Roman"/>
          <w:sz w:val="20"/>
          <w:szCs w:val="20"/>
        </w:rPr>
        <w:t>.”Poprawa jakości powietrza w Sieradzu poprzez ograniczenie niskiej emisji zanieczyszczeń z lokalnych źródeł ciepła”,</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z Narodowego Funduszu Ochrony Środowiska i Gospodarki Wodnej w Warszawie – 10 410 912,00 zł na realizację projektu pn. „Rozpoznanie i udokumentowanie zasobów wód termalnych na terenie miasta Sieradza”,</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z Funduszu Rozwoju Kultury Fizycznej w Warszawie – 700 000,00 zł na realizację projektu </w:t>
      </w:r>
      <w:proofErr w:type="spellStart"/>
      <w:r w:rsidRPr="00234017">
        <w:rPr>
          <w:rFonts w:ascii="Times New Roman" w:hAnsi="Times New Roman" w:cs="Times New Roman"/>
          <w:sz w:val="20"/>
          <w:szCs w:val="20"/>
        </w:rPr>
        <w:t>pn</w:t>
      </w:r>
      <w:proofErr w:type="spellEnd"/>
      <w:r w:rsidRPr="00234017">
        <w:rPr>
          <w:rFonts w:ascii="Times New Roman" w:hAnsi="Times New Roman" w:cs="Times New Roman"/>
          <w:sz w:val="20"/>
          <w:szCs w:val="20"/>
        </w:rPr>
        <w:t>.”Przebudowa obiektów sportowych wraz z infrastrukturą towarzyszącą na stadionie MOSiR w Sieradzu – etap II”,</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 xml:space="preserve"> „ Zagospodarowanie terenów turystyczno-rekreacyjnych na rzeką Wartą w rejonie ulicy Portowej” w ramach Regionalnego Programu Operacyjnego Województwa Łódzkiego na lata 2014-2020 (zadanie „Aktywna Dolina Rzeki Warty”) – 2 089 756,00 zł,</w:t>
      </w:r>
      <w:r w:rsidRPr="00234017">
        <w:rPr>
          <w:rFonts w:ascii="Times New Roman" w:hAnsi="Times New Roman" w:cs="Times New Roman"/>
        </w:rPr>
        <w:t xml:space="preserve"> </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„e-Sieradz. Elektroniczne usługi dla mieszkańców” w ramach Regionalnego Programu Operacyjnego Województwa Łódzkiego na lata 2014-2020 – 504 475,00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„Integracja różnych systemów transportu zbiorowego poprzez rozbudowę węzłów przesiadkowych w województwie łódzkim” w ramach Regionalnego Programu Operacyjnego Województwa Łódzkiego na lata 2014-2020 – 1 148 654,98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„Ziemia sieradzka regionalnym biegunem wzrostu gospodarczego” - w ramach Regionalnego Programu Operacyjnego Województwa Łódzkiego na lata 2014-2020 – 192 525,00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„Poszerzamy horyzonty” – w ramach Europejskiego Funduszu Społecznego – 12 100,00 zł,</w:t>
      </w:r>
    </w:p>
    <w:p w:rsidR="00234017" w:rsidRPr="00234017" w:rsidRDefault="00234017" w:rsidP="00234017">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234017">
        <w:rPr>
          <w:rFonts w:ascii="Times New Roman" w:hAnsi="Times New Roman" w:cs="Times New Roman"/>
          <w:sz w:val="20"/>
          <w:szCs w:val="20"/>
        </w:rPr>
        <w:t>„Zaprogramuj swoją przyszłość” w ramach Programu Erasmus+ - 7 765,67 zł.</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234017">
        <w:rPr>
          <w:rFonts w:ascii="Times New Roman" w:hAnsi="Times New Roman" w:cs="Times New Roman"/>
          <w:b/>
          <w:bCs/>
          <w:sz w:val="20"/>
          <w:szCs w:val="20"/>
        </w:rPr>
        <w:t>Wydatki</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 szczególności zadania własne obejmują sprawy:</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ładu przestrzennego, gospodarki nieruchomościami, ochrony środowiska i przyrody oraz gospodarki </w:t>
      </w:r>
      <w:r w:rsidRPr="00234017">
        <w:rPr>
          <w:rFonts w:ascii="Times New Roman" w:hAnsi="Times New Roman" w:cs="Times New Roman"/>
          <w:sz w:val="20"/>
          <w:szCs w:val="20"/>
        </w:rPr>
        <w:lastRenderedPageBreak/>
        <w:t>wodnej,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gminnych dróg, ulic, mostów, placów oraz organizacji ruchu drogowego,</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gospodarki odpadami komunalnymi.</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lokalnego transportu zbiorowego,</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ochrony zdrowia,</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pomocy społecznej, w tym ośrodków i zakładów opiekuńczych,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gminnego budownictwa mieszkaniowego,</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edukacji publicznej,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kultury, w tym bibliotek gminnych i innych placówek upowszechniania kultury,</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kultury fizycznej i turystyki, w tym terenów rekreacyjnych i urządzeń sportowych,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targowisk i hal targowych,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zieleni gminnej i </w:t>
      </w:r>
      <w:proofErr w:type="spellStart"/>
      <w:r w:rsidRPr="00234017">
        <w:rPr>
          <w:rFonts w:ascii="Times New Roman" w:hAnsi="Times New Roman" w:cs="Times New Roman"/>
          <w:sz w:val="20"/>
          <w:szCs w:val="20"/>
        </w:rPr>
        <w:t>zadrzewień</w:t>
      </w:r>
      <w:proofErr w:type="spellEnd"/>
      <w:r w:rsidRPr="00234017">
        <w:rPr>
          <w:rFonts w:ascii="Times New Roman" w:hAnsi="Times New Roman" w:cs="Times New Roman"/>
          <w:sz w:val="20"/>
          <w:szCs w:val="20"/>
        </w:rPr>
        <w:t>,</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cmentarzy gminnych,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porządku publicznego i bezpieczeństwa obywateli oraz ochrony przeciwpożarowej i przeciwpowodziowej,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utrzymania gminnych obiektów i urządzeń użyteczności publicznej oraz obiektów administracyjnych,</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polityki prorodzinnej, w tym zapewnienia kobietom w ciąży opieki socjalnej, medycznej i prawnej,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wspierania i upowszechniania idei samorządowej,</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promocji gminy,</w:t>
      </w:r>
    </w:p>
    <w:p w:rsidR="00234017" w:rsidRPr="00234017" w:rsidRDefault="00234017" w:rsidP="00234017">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współpracy z organizacjami pozarządowymi, ze społecznościami lokalnymi i regionalnymi innych państw.</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 zakresie wydatków bieżących na rok 2018 zaprognozowano ich wzrost a następnie obniżenie i niewielki wzrost od 2020 roku i latach następnych. Spowodowane jest realizacją zadań na które zostały podpisane umowy o dofinansowanie. W prognozie przyjęto iż będzie kontynuowana polityka oszczędnościowa w zakresie wydatków bieżących.</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234017">
        <w:rPr>
          <w:rFonts w:ascii="Times New Roman" w:hAnsi="Times New Roman" w:cs="Times New Roman"/>
          <w:sz w:val="20"/>
          <w:szCs w:val="20"/>
        </w:rPr>
        <w:t>Sp</w:t>
      </w:r>
      <w:proofErr w:type="spellEnd"/>
      <w:r w:rsidRPr="00234017">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234017">
        <w:rPr>
          <w:rFonts w:ascii="Times New Roman" w:hAnsi="Times New Roman" w:cs="Times New Roman"/>
          <w:b/>
          <w:bCs/>
          <w:sz w:val="20"/>
          <w:szCs w:val="20"/>
        </w:rPr>
        <w:t>Informacje o zaciągniętych zobowiązaniach finansowych z tytułu kredytów i pożyczek</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Na podstawie art. 89 ust. 1 ustawy z dnia 27 sierpnia 2009 r. o finansach publicznych (</w:t>
      </w:r>
      <w:proofErr w:type="spellStart"/>
      <w:r w:rsidRPr="00234017">
        <w:rPr>
          <w:rFonts w:ascii="Times New Roman" w:hAnsi="Times New Roman" w:cs="Times New Roman"/>
          <w:sz w:val="20"/>
          <w:szCs w:val="20"/>
        </w:rPr>
        <w:t>t.j</w:t>
      </w:r>
      <w:proofErr w:type="spellEnd"/>
      <w:r w:rsidRPr="00234017">
        <w:rPr>
          <w:rFonts w:ascii="Times New Roman" w:hAnsi="Times New Roman" w:cs="Times New Roman"/>
          <w:sz w:val="20"/>
          <w:szCs w:val="20"/>
        </w:rPr>
        <w:t>. Dz. U. 2017 poz. 2077), jednostki samorządu terytorialnego mogą zaciągać kredyty, pożyczki oraz emitować papiery wartościowe na:</w:t>
      </w:r>
    </w:p>
    <w:p w:rsidR="00234017" w:rsidRPr="00234017" w:rsidRDefault="00234017" w:rsidP="00234017">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pokrycie występującego w ciągu roku przejściowego deficytu budżetu jednostki samorządu terytorialnego;</w:t>
      </w:r>
    </w:p>
    <w:p w:rsidR="00234017" w:rsidRPr="00234017" w:rsidRDefault="00234017" w:rsidP="00234017">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finansowanie planowanego deficytu budżetu jednostki samorządu terytorialnego;</w:t>
      </w:r>
    </w:p>
    <w:p w:rsidR="00234017" w:rsidRPr="00234017" w:rsidRDefault="00234017" w:rsidP="00234017">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spłatę wcześniej zaciągniętych zobowiązań z tytułu emisji papierów wartościowych oraz zaciągniętych pożyczek i kredytów.</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Finansowanie takie nie powinno dotyczyć wydatków stałych, związanych z wykonywaniem bieżących zadań samorządu.</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E61635"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Z</w:t>
      </w:r>
      <w:r w:rsidR="00234017" w:rsidRPr="00234017">
        <w:rPr>
          <w:rFonts w:ascii="Times New Roman" w:hAnsi="Times New Roman" w:cs="Times New Roman"/>
          <w:sz w:val="20"/>
          <w:szCs w:val="20"/>
        </w:rPr>
        <w:t xml:space="preserve">adłużenie na dzień 31 grudnia 2017 r. Miasta Sieradza </w:t>
      </w:r>
      <w:bookmarkStart w:id="0" w:name="_GoBack"/>
      <w:bookmarkEnd w:id="0"/>
      <w:r w:rsidR="00234017" w:rsidRPr="00234017">
        <w:rPr>
          <w:rFonts w:ascii="Times New Roman" w:hAnsi="Times New Roman" w:cs="Times New Roman"/>
          <w:sz w:val="20"/>
          <w:szCs w:val="20"/>
        </w:rPr>
        <w:t xml:space="preserve"> wynosiło 29 582 254,00 zł. W roku 2018 planowana jest emisja obligacji komunalnych na kwotę 15 500 000,00 zł.</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W związku z realizacja projektu współfinansowanego z Funduszu Spójności pn. System wodociągowy i kanalizacyjny w Sieradzu w roku 2008 dokonano poręczenia pożyczki zaciągniętej przez Miejskie Przedsiębiorstwo Wodociągów i Kanalizacji </w:t>
      </w:r>
      <w:proofErr w:type="spellStart"/>
      <w:r w:rsidRPr="00234017">
        <w:rPr>
          <w:rFonts w:ascii="Times New Roman" w:hAnsi="Times New Roman" w:cs="Times New Roman"/>
          <w:sz w:val="20"/>
          <w:szCs w:val="20"/>
        </w:rPr>
        <w:t>Sp</w:t>
      </w:r>
      <w:proofErr w:type="spellEnd"/>
      <w:r w:rsidRPr="00234017">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234017" w:rsidRPr="00234017">
        <w:tc>
          <w:tcPr>
            <w:tcW w:w="508" w:type="dxa"/>
            <w:tcBorders>
              <w:top w:val="single" w:sz="4" w:space="0" w:color="auto"/>
              <w:left w:val="single" w:sz="4" w:space="0" w:color="auto"/>
              <w:bottom w:val="single" w:sz="4" w:space="0" w:color="auto"/>
              <w:right w:val="single" w:sz="4" w:space="0" w:color="auto"/>
            </w:tcBorders>
            <w:vAlign w:val="center"/>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E61635">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E61635">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E61635">
              <w:rPr>
                <w:rFonts w:ascii="Times New Roman" w:hAnsi="Times New Roman" w:cs="Times New Roman"/>
                <w:sz w:val="20"/>
                <w:szCs w:val="20"/>
              </w:rPr>
              <w:t>Wysokość poręczenia w roku (w  zł)</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1 103 118,32</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2 166 203,26</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2 117 871,90</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2 070 445,36</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2 021 209,13</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1 972 877,75</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1 924 546,34</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1 876 590,15</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1 827 883,57</w:t>
            </w:r>
          </w:p>
        </w:tc>
      </w:tr>
      <w:tr w:rsidR="00234017" w:rsidRPr="00234017">
        <w:tc>
          <w:tcPr>
            <w:tcW w:w="508"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1 633 093,44</w:t>
            </w:r>
          </w:p>
        </w:tc>
      </w:tr>
      <w:tr w:rsidR="00234017" w:rsidRPr="00234017">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E61635">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234017" w:rsidRPr="00E61635"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E61635">
              <w:rPr>
                <w:rFonts w:ascii="Times New Roman" w:hAnsi="Times New Roman" w:cs="Times New Roman"/>
                <w:sz w:val="20"/>
                <w:szCs w:val="20"/>
              </w:rPr>
              <w:t>18 713 839,22</w:t>
            </w:r>
          </w:p>
        </w:tc>
      </w:tr>
    </w:tbl>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Pożyczka spłacana jest na bieżąco.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234017">
        <w:rPr>
          <w:rFonts w:ascii="Times New Roman" w:hAnsi="Times New Roman" w:cs="Times New Roman"/>
          <w:sz w:val="20"/>
          <w:szCs w:val="20"/>
        </w:rPr>
        <w:t xml:space="preserve">Wydatki z tytułu niewymagalnych poręczeń i gwarancji wykraczające poza okres na który została opracowania wieloletnia prognoza finansowa wynoszą 3 460 977,01 zł </w:t>
      </w:r>
    </w:p>
    <w:p w:rsidR="00234017" w:rsidRPr="00234017" w:rsidRDefault="00234017" w:rsidP="0023401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234017" w:rsidRPr="00234017" w:rsidRDefault="00234017" w:rsidP="00234017">
      <w:pPr>
        <w:widowControl w:val="0"/>
        <w:autoSpaceDE w:val="0"/>
        <w:autoSpaceDN w:val="0"/>
        <w:adjustRightInd w:val="0"/>
        <w:spacing w:after="0" w:line="240" w:lineRule="auto"/>
        <w:rPr>
          <w:rFonts w:ascii="Times New Roman" w:hAnsi="Times New Roman" w:cs="Times New Roman"/>
          <w:sz w:val="20"/>
          <w:szCs w:val="20"/>
        </w:rPr>
      </w:pPr>
    </w:p>
    <w:p w:rsidR="00061C48" w:rsidRDefault="00061C48"/>
    <w:sectPr w:rsidR="00061C48" w:rsidSect="005D695D">
      <w:footerReference w:type="default" r:id="rId8"/>
      <w:pgSz w:w="11906" w:h="16838"/>
      <w:pgMar w:top="1417" w:right="1417" w:bottom="1417" w:left="1417"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3C6" w:rsidRDefault="00FC13C6">
      <w:pPr>
        <w:spacing w:after="0" w:line="240" w:lineRule="auto"/>
      </w:pPr>
      <w:r>
        <w:separator/>
      </w:r>
    </w:p>
  </w:endnote>
  <w:endnote w:type="continuationSeparator" w:id="0">
    <w:p w:rsidR="00FC13C6" w:rsidRDefault="00FC1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5D" w:rsidRDefault="00234017">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sidR="00CC116F">
      <w:rPr>
        <w:rFonts w:ascii="Times New Roman" w:hAnsi="Times New Roman" w:cs="Times New Roman"/>
        <w:noProof/>
      </w:rPr>
      <w:t>5</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3C6" w:rsidRDefault="00FC13C6">
      <w:pPr>
        <w:spacing w:after="0" w:line="240" w:lineRule="auto"/>
      </w:pPr>
      <w:r>
        <w:separator/>
      </w:r>
    </w:p>
  </w:footnote>
  <w:footnote w:type="continuationSeparator" w:id="0">
    <w:p w:rsidR="00FC13C6" w:rsidRDefault="00FC13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lowerLetter"/>
      <w:lvlText w:val="%1)"/>
      <w:lvlJc w:val="left"/>
      <w:pPr>
        <w:ind w:left="357"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4">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5">
    <w:abstractNumId w:val="1"/>
    <w:lvlOverride w:ilvl="0">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Override>
    <w:lvlOverride w:ilvl="1">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Override>
    <w:lvlOverride w:ilvl="2">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Override>
    <w:lvlOverride w:ilvl="3">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Override>
    <w:lvlOverride w:ilvl="4">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Override>
    <w:lvlOverride w:ilvl="5">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Override>
    <w:lvlOverride w:ilvl="6">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Override>
    <w:lvlOverride w:ilvl="7">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Override>
    <w:lvlOverride w:ilvl="8">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017"/>
    <w:rsid w:val="00061C48"/>
    <w:rsid w:val="00234017"/>
    <w:rsid w:val="002A3359"/>
    <w:rsid w:val="004542DF"/>
    <w:rsid w:val="005739ED"/>
    <w:rsid w:val="00603F86"/>
    <w:rsid w:val="00740E2A"/>
    <w:rsid w:val="00753B41"/>
    <w:rsid w:val="00782BB9"/>
    <w:rsid w:val="00805A1D"/>
    <w:rsid w:val="0083306D"/>
    <w:rsid w:val="008E3EF1"/>
    <w:rsid w:val="00A5242A"/>
    <w:rsid w:val="00CC116F"/>
    <w:rsid w:val="00E61635"/>
    <w:rsid w:val="00EB4DE5"/>
    <w:rsid w:val="00FC13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234017"/>
    <w:pPr>
      <w:widowControl w:val="0"/>
      <w:autoSpaceDE w:val="0"/>
      <w:autoSpaceDN w:val="0"/>
      <w:adjustRightInd w:val="0"/>
      <w:spacing w:after="0" w:line="240" w:lineRule="auto"/>
    </w:pPr>
    <w:rPr>
      <w:rFonts w:ascii="Arial" w:hAnsi="Arial" w:cs="Arial"/>
      <w:sz w:val="24"/>
      <w:szCs w:val="24"/>
    </w:rPr>
  </w:style>
  <w:style w:type="paragraph" w:styleId="Tekstdymka">
    <w:name w:val="Balloon Text"/>
    <w:basedOn w:val="Normalny"/>
    <w:link w:val="TekstdymkaZnak"/>
    <w:uiPriority w:val="99"/>
    <w:semiHidden/>
    <w:unhideWhenUsed/>
    <w:rsid w:val="00CC11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11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234017"/>
    <w:pPr>
      <w:widowControl w:val="0"/>
      <w:autoSpaceDE w:val="0"/>
      <w:autoSpaceDN w:val="0"/>
      <w:adjustRightInd w:val="0"/>
      <w:spacing w:after="0" w:line="240" w:lineRule="auto"/>
    </w:pPr>
    <w:rPr>
      <w:rFonts w:ascii="Arial" w:hAnsi="Arial" w:cs="Arial"/>
      <w:sz w:val="24"/>
      <w:szCs w:val="24"/>
    </w:rPr>
  </w:style>
  <w:style w:type="paragraph" w:styleId="Tekstdymka">
    <w:name w:val="Balloon Text"/>
    <w:basedOn w:val="Normalny"/>
    <w:link w:val="TekstdymkaZnak"/>
    <w:uiPriority w:val="99"/>
    <w:semiHidden/>
    <w:unhideWhenUsed/>
    <w:rsid w:val="00CC11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C11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2677</Words>
  <Characters>16063</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4</cp:revision>
  <cp:lastPrinted>2018-06-19T11:25:00Z</cp:lastPrinted>
  <dcterms:created xsi:type="dcterms:W3CDTF">2018-05-21T11:43:00Z</dcterms:created>
  <dcterms:modified xsi:type="dcterms:W3CDTF">2018-06-19T11:54:00Z</dcterms:modified>
</cp:coreProperties>
</file>