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091" w:rsidRPr="00E8066D" w:rsidRDefault="00C03091" w:rsidP="00C03091">
      <w:pPr>
        <w:pStyle w:val="Bezodstpw"/>
        <w:jc w:val="center"/>
        <w:rPr>
          <w:rFonts w:ascii="Arial" w:hAnsi="Arial" w:cs="Arial"/>
          <w:b/>
          <w:sz w:val="32"/>
          <w:szCs w:val="24"/>
        </w:rPr>
      </w:pPr>
      <w:r w:rsidRPr="00E8066D">
        <w:rPr>
          <w:rFonts w:ascii="Arial" w:hAnsi="Arial" w:cs="Arial"/>
          <w:b/>
          <w:sz w:val="32"/>
          <w:szCs w:val="24"/>
        </w:rPr>
        <w:t xml:space="preserve">Wyniki i działalność spółek kapitałowych, których </w:t>
      </w:r>
    </w:p>
    <w:p w:rsidR="00C03091" w:rsidRPr="00E8066D" w:rsidRDefault="00C03091" w:rsidP="00C03091">
      <w:pPr>
        <w:pStyle w:val="Bezodstpw"/>
        <w:jc w:val="center"/>
        <w:rPr>
          <w:rFonts w:ascii="Arial" w:hAnsi="Arial" w:cs="Arial"/>
          <w:b/>
          <w:sz w:val="32"/>
          <w:szCs w:val="24"/>
        </w:rPr>
      </w:pPr>
      <w:r w:rsidRPr="00E8066D">
        <w:rPr>
          <w:rFonts w:ascii="Arial" w:hAnsi="Arial" w:cs="Arial"/>
          <w:b/>
          <w:sz w:val="32"/>
          <w:szCs w:val="24"/>
        </w:rPr>
        <w:t>udziałowcem jest Miasto Sieradz, w roku 201</w:t>
      </w:r>
      <w:r w:rsidR="00496B9F" w:rsidRPr="00E8066D">
        <w:rPr>
          <w:rFonts w:ascii="Arial" w:hAnsi="Arial" w:cs="Arial"/>
          <w:b/>
          <w:sz w:val="32"/>
          <w:szCs w:val="24"/>
        </w:rPr>
        <w:t>4</w:t>
      </w:r>
    </w:p>
    <w:p w:rsidR="00C03091" w:rsidRPr="00BD17D6" w:rsidRDefault="00C03091" w:rsidP="006452E9">
      <w:pPr>
        <w:pStyle w:val="Bezodstpw"/>
        <w:jc w:val="center"/>
        <w:rPr>
          <w:rFonts w:asciiTheme="minorHAnsi" w:hAnsiTheme="minorHAnsi"/>
          <w:b/>
          <w:sz w:val="28"/>
          <w:szCs w:val="24"/>
        </w:rPr>
      </w:pPr>
    </w:p>
    <w:p w:rsidR="006452E9" w:rsidRPr="00BD17D6" w:rsidRDefault="006452E9" w:rsidP="00C03091">
      <w:pPr>
        <w:pStyle w:val="Bezodstpw"/>
        <w:rPr>
          <w:rFonts w:asciiTheme="minorHAnsi" w:hAnsiTheme="minorHAnsi"/>
          <w:b/>
          <w:i/>
          <w:sz w:val="28"/>
          <w:szCs w:val="28"/>
          <w:u w:val="single"/>
        </w:rPr>
      </w:pPr>
      <w:r w:rsidRPr="00BD17D6">
        <w:rPr>
          <w:rFonts w:asciiTheme="minorHAnsi" w:hAnsiTheme="minorHAnsi"/>
          <w:b/>
          <w:i/>
          <w:sz w:val="28"/>
          <w:szCs w:val="28"/>
          <w:u w:val="single"/>
        </w:rPr>
        <w:t>Przedsiębiorstw</w:t>
      </w:r>
      <w:r w:rsidR="00C03091" w:rsidRPr="00BD17D6">
        <w:rPr>
          <w:rFonts w:asciiTheme="minorHAnsi" w:hAnsiTheme="minorHAnsi"/>
          <w:b/>
          <w:i/>
          <w:sz w:val="28"/>
          <w:szCs w:val="28"/>
          <w:u w:val="single"/>
        </w:rPr>
        <w:t>o</w:t>
      </w:r>
      <w:r w:rsidRPr="00BD17D6">
        <w:rPr>
          <w:rFonts w:asciiTheme="minorHAnsi" w:hAnsiTheme="minorHAnsi"/>
          <w:b/>
          <w:i/>
          <w:sz w:val="28"/>
          <w:szCs w:val="28"/>
          <w:u w:val="single"/>
        </w:rPr>
        <w:t xml:space="preserve"> Komunalne</w:t>
      </w:r>
      <w:r w:rsidR="00C03091" w:rsidRPr="00BD17D6">
        <w:rPr>
          <w:rFonts w:asciiTheme="minorHAnsi" w:hAnsiTheme="minorHAnsi"/>
          <w:b/>
          <w:i/>
          <w:sz w:val="28"/>
          <w:szCs w:val="28"/>
          <w:u w:val="single"/>
        </w:rPr>
        <w:t xml:space="preserve"> </w:t>
      </w:r>
      <w:r w:rsidRPr="00BD17D6">
        <w:rPr>
          <w:rFonts w:asciiTheme="minorHAnsi" w:hAnsiTheme="minorHAnsi"/>
          <w:b/>
          <w:i/>
          <w:sz w:val="28"/>
          <w:szCs w:val="28"/>
          <w:u w:val="single"/>
        </w:rPr>
        <w:t xml:space="preserve">Spółka z o.o. w Sieradzu </w:t>
      </w:r>
    </w:p>
    <w:p w:rsidR="000A41E2" w:rsidRPr="00E8066D" w:rsidRDefault="000A41E2" w:rsidP="00C03091">
      <w:pPr>
        <w:pStyle w:val="Bezodstpw"/>
        <w:rPr>
          <w:rFonts w:asciiTheme="minorHAnsi" w:hAnsiTheme="minorHAnsi"/>
          <w:b/>
          <w:sz w:val="20"/>
          <w:szCs w:val="24"/>
        </w:rPr>
      </w:pPr>
    </w:p>
    <w:p w:rsidR="00496B9F" w:rsidRPr="00BD17D6" w:rsidRDefault="00496B9F" w:rsidP="00496B9F">
      <w:pPr>
        <w:spacing w:after="0" w:line="240" w:lineRule="auto"/>
        <w:jc w:val="both"/>
        <w:rPr>
          <w:rFonts w:asciiTheme="minorHAnsi" w:hAnsiTheme="minorHAnsi"/>
          <w:b/>
          <w:sz w:val="24"/>
          <w:szCs w:val="24"/>
        </w:rPr>
      </w:pPr>
      <w:r w:rsidRPr="00BD17D6">
        <w:rPr>
          <w:rFonts w:asciiTheme="minorHAnsi" w:hAnsiTheme="minorHAnsi"/>
          <w:b/>
          <w:sz w:val="24"/>
          <w:szCs w:val="24"/>
        </w:rPr>
        <w:t>Działalność Przedsiębiorstwa</w:t>
      </w:r>
    </w:p>
    <w:p w:rsidR="00496B9F" w:rsidRPr="00BD17D6" w:rsidRDefault="00496B9F" w:rsidP="00496B9F">
      <w:pPr>
        <w:spacing w:after="0" w:line="240" w:lineRule="auto"/>
        <w:jc w:val="both"/>
        <w:rPr>
          <w:rFonts w:asciiTheme="minorHAnsi" w:hAnsiTheme="minorHAnsi"/>
          <w:sz w:val="24"/>
          <w:szCs w:val="24"/>
        </w:rPr>
      </w:pPr>
      <w:r w:rsidRPr="00BD17D6">
        <w:rPr>
          <w:rFonts w:asciiTheme="minorHAnsi" w:hAnsiTheme="minorHAnsi"/>
          <w:sz w:val="24"/>
          <w:szCs w:val="24"/>
          <w:u w:val="single"/>
        </w:rPr>
        <w:t xml:space="preserve">Zakład Oczyszczania i Zieleni Miejskiej </w:t>
      </w:r>
      <w:r w:rsidRPr="00BD17D6">
        <w:rPr>
          <w:rFonts w:asciiTheme="minorHAnsi" w:hAnsiTheme="minorHAnsi"/>
          <w:sz w:val="24"/>
          <w:szCs w:val="24"/>
        </w:rPr>
        <w:t xml:space="preserve">– osiągnął w 2014 roku przychód w wysokości 5 258 243,27 zł, przy koszcie własnym wynoszącym 5 416 825,35 zł. Przyniosło to stratę w wysokości 158 582,08 zł. Złożył się na to ujemny wynik działalności w zakresie wywozu nieczystości stałych i płynnych oraz działalność wysypiska. Zakład w 2014 r. prowadził działalność w zakresie odbioru odpadów komunalnych na terenie miasta Sieradza oraz gmin: Sieradz, Warta, Wróblew i Goszczanów i odebrał od klientów 17 225,52 Mg odpadów. Od lipca 2014 r. w ramach zawartej umowy zbierano odpady również z terenu miasta i gminy Dobra. </w:t>
      </w:r>
    </w:p>
    <w:p w:rsidR="00496B9F" w:rsidRPr="00BD17D6" w:rsidRDefault="00496B9F" w:rsidP="00496B9F">
      <w:pPr>
        <w:spacing w:after="0" w:line="240" w:lineRule="auto"/>
        <w:jc w:val="both"/>
        <w:rPr>
          <w:rFonts w:asciiTheme="minorHAnsi" w:hAnsiTheme="minorHAnsi"/>
          <w:sz w:val="24"/>
          <w:szCs w:val="24"/>
        </w:rPr>
      </w:pPr>
      <w:r w:rsidRPr="00BD17D6">
        <w:rPr>
          <w:rFonts w:asciiTheme="minorHAnsi" w:hAnsiTheme="minorHAnsi"/>
          <w:sz w:val="24"/>
          <w:szCs w:val="24"/>
          <w:u w:val="single"/>
        </w:rPr>
        <w:t>Zakład Gospodarki Mieszkaniowej</w:t>
      </w:r>
      <w:r w:rsidRPr="00BD17D6">
        <w:rPr>
          <w:rFonts w:asciiTheme="minorHAnsi" w:hAnsiTheme="minorHAnsi"/>
          <w:sz w:val="24"/>
          <w:szCs w:val="24"/>
        </w:rPr>
        <w:t xml:space="preserve"> – działalność zakładu, polegająca w głównej mierze na administrowaniu lokalami mieszkalnymi </w:t>
      </w:r>
      <w:r w:rsidR="004D0DA4" w:rsidRPr="00BD17D6">
        <w:rPr>
          <w:rFonts w:asciiTheme="minorHAnsi" w:hAnsiTheme="minorHAnsi"/>
          <w:sz w:val="24"/>
          <w:szCs w:val="24"/>
        </w:rPr>
        <w:t>oraz lokalami</w:t>
      </w:r>
      <w:r w:rsidRPr="00BD17D6">
        <w:rPr>
          <w:rFonts w:asciiTheme="minorHAnsi" w:hAnsiTheme="minorHAnsi"/>
          <w:sz w:val="24"/>
          <w:szCs w:val="24"/>
        </w:rPr>
        <w:t xml:space="preserve"> użytkowymi, przyniosła w 2014 roku stratę w wysokości 4 837,95 zł. Wartość </w:t>
      </w:r>
      <w:r w:rsidR="004D0DA4" w:rsidRPr="00BD17D6">
        <w:rPr>
          <w:rFonts w:asciiTheme="minorHAnsi" w:hAnsiTheme="minorHAnsi"/>
          <w:sz w:val="24"/>
          <w:szCs w:val="24"/>
        </w:rPr>
        <w:t>przychodów wynosząca</w:t>
      </w:r>
      <w:r w:rsidRPr="00BD17D6">
        <w:rPr>
          <w:rFonts w:asciiTheme="minorHAnsi" w:hAnsiTheme="minorHAnsi"/>
          <w:sz w:val="24"/>
          <w:szCs w:val="24"/>
        </w:rPr>
        <w:t xml:space="preserve"> 966 690,89 zł nie zdołała pokryć kosztów własnych tej działalności, które wyniosły 972 590,29 zł.  Na remonty bieżące i</w:t>
      </w:r>
      <w:r w:rsidR="00AB4510">
        <w:rPr>
          <w:rFonts w:asciiTheme="minorHAnsi" w:hAnsiTheme="minorHAnsi"/>
          <w:sz w:val="24"/>
          <w:szCs w:val="24"/>
        </w:rPr>
        <w:t> </w:t>
      </w:r>
      <w:r w:rsidRPr="00BD17D6">
        <w:rPr>
          <w:rFonts w:asciiTheme="minorHAnsi" w:hAnsiTheme="minorHAnsi"/>
          <w:sz w:val="24"/>
          <w:szCs w:val="24"/>
        </w:rPr>
        <w:t xml:space="preserve">konserwację lokali mieszkalnych wydano w 2014 r. kwotę 980 534,68 zł. Z kwoty tej 510 357,78 zł przypadło na działającą w ramach zakładu brygadę remontową, co przy kosztach utrzymania na poziomie 624 764,68 zł uczyniło jej działalność nierentowną. Stratę przyniosły </w:t>
      </w:r>
      <w:r w:rsidR="004D0DA4" w:rsidRPr="00BD17D6">
        <w:rPr>
          <w:rFonts w:asciiTheme="minorHAnsi" w:hAnsiTheme="minorHAnsi"/>
          <w:sz w:val="24"/>
          <w:szCs w:val="24"/>
        </w:rPr>
        <w:t>też targowiska</w:t>
      </w:r>
      <w:r w:rsidRPr="00BD17D6">
        <w:rPr>
          <w:rFonts w:asciiTheme="minorHAnsi" w:hAnsiTheme="minorHAnsi"/>
          <w:sz w:val="24"/>
          <w:szCs w:val="24"/>
        </w:rPr>
        <w:t xml:space="preserve"> utrzymywane przez Spółkę. Nadwyżka </w:t>
      </w:r>
      <w:r w:rsidR="004D0DA4" w:rsidRPr="00BD17D6">
        <w:rPr>
          <w:rFonts w:asciiTheme="minorHAnsi" w:hAnsiTheme="minorHAnsi"/>
          <w:sz w:val="24"/>
          <w:szCs w:val="24"/>
        </w:rPr>
        <w:t>kosztów nad</w:t>
      </w:r>
      <w:r w:rsidRPr="00BD17D6">
        <w:rPr>
          <w:rFonts w:asciiTheme="minorHAnsi" w:hAnsiTheme="minorHAnsi"/>
          <w:sz w:val="24"/>
          <w:szCs w:val="24"/>
        </w:rPr>
        <w:t xml:space="preserve"> </w:t>
      </w:r>
      <w:r w:rsidR="004D0DA4" w:rsidRPr="00BD17D6">
        <w:rPr>
          <w:rFonts w:asciiTheme="minorHAnsi" w:hAnsiTheme="minorHAnsi"/>
          <w:sz w:val="24"/>
          <w:szCs w:val="24"/>
        </w:rPr>
        <w:t>przychodami wyniosła</w:t>
      </w:r>
      <w:r w:rsidRPr="00BD17D6">
        <w:rPr>
          <w:rFonts w:asciiTheme="minorHAnsi" w:hAnsiTheme="minorHAnsi"/>
          <w:sz w:val="24"/>
          <w:szCs w:val="24"/>
        </w:rPr>
        <w:t xml:space="preserve"> łącznie 17 600,58 zł. </w:t>
      </w:r>
    </w:p>
    <w:p w:rsidR="00496B9F" w:rsidRPr="00BD17D6" w:rsidRDefault="00496B9F" w:rsidP="00496B9F">
      <w:pPr>
        <w:spacing w:after="0" w:line="240" w:lineRule="auto"/>
        <w:jc w:val="both"/>
        <w:rPr>
          <w:rFonts w:asciiTheme="minorHAnsi" w:hAnsiTheme="minorHAnsi"/>
          <w:sz w:val="24"/>
          <w:szCs w:val="24"/>
        </w:rPr>
      </w:pPr>
      <w:r w:rsidRPr="00BD17D6">
        <w:rPr>
          <w:rFonts w:asciiTheme="minorHAnsi" w:hAnsiTheme="minorHAnsi"/>
          <w:sz w:val="24"/>
          <w:szCs w:val="24"/>
          <w:u w:val="single"/>
        </w:rPr>
        <w:t>Dział Administracyjno-Gospodarczy</w:t>
      </w:r>
      <w:r w:rsidRPr="00BD17D6">
        <w:rPr>
          <w:rFonts w:asciiTheme="minorHAnsi" w:hAnsiTheme="minorHAnsi"/>
          <w:sz w:val="24"/>
          <w:szCs w:val="24"/>
        </w:rPr>
        <w:t xml:space="preserve"> – wypracował w 2014 r. 1 368 602,66 zł przychodu, co przy koszcie własnym wynoszącym 1 361 544,48 zł dało 7 058,18 zł zysku. W ramach swej działalności dział ten zapewniał sprawność techniczną pojazdów oraz sprzętu, zabezpieczał dostawy materiałów i części, świadczył usługi dla podmiotów zewnętrznych, gospodarował pomieszczeniami pod wynajem, prowadził także sprzedaż gazu oraz punkt tymczasowego przetrzymywania zwierząt (do 15.05.2014 r). </w:t>
      </w:r>
    </w:p>
    <w:p w:rsidR="00496B9F" w:rsidRPr="00BD17D6" w:rsidRDefault="00496B9F" w:rsidP="00496B9F">
      <w:pPr>
        <w:spacing w:after="0" w:line="240" w:lineRule="auto"/>
        <w:jc w:val="both"/>
        <w:rPr>
          <w:rFonts w:asciiTheme="minorHAnsi" w:hAnsiTheme="minorHAnsi"/>
          <w:sz w:val="10"/>
          <w:szCs w:val="24"/>
        </w:rPr>
      </w:pPr>
    </w:p>
    <w:p w:rsidR="00496B9F" w:rsidRPr="00BD17D6" w:rsidRDefault="00496B9F" w:rsidP="00496B9F">
      <w:pPr>
        <w:spacing w:after="0" w:line="240" w:lineRule="auto"/>
        <w:jc w:val="both"/>
        <w:rPr>
          <w:rFonts w:asciiTheme="minorHAnsi" w:hAnsiTheme="minorHAnsi"/>
          <w:b/>
          <w:sz w:val="24"/>
          <w:szCs w:val="24"/>
        </w:rPr>
      </w:pPr>
      <w:r w:rsidRPr="00BD17D6">
        <w:rPr>
          <w:rFonts w:asciiTheme="minorHAnsi" w:hAnsiTheme="minorHAnsi"/>
          <w:b/>
          <w:sz w:val="24"/>
          <w:szCs w:val="24"/>
        </w:rPr>
        <w:t>Inwestycje</w:t>
      </w:r>
    </w:p>
    <w:p w:rsidR="00496B9F" w:rsidRDefault="00496B9F" w:rsidP="00496B9F">
      <w:pPr>
        <w:spacing w:after="0" w:line="240" w:lineRule="auto"/>
        <w:jc w:val="both"/>
        <w:rPr>
          <w:rFonts w:asciiTheme="minorHAnsi" w:hAnsiTheme="minorHAnsi"/>
          <w:sz w:val="24"/>
          <w:szCs w:val="24"/>
        </w:rPr>
      </w:pPr>
      <w:r w:rsidRPr="00BD17D6">
        <w:rPr>
          <w:rFonts w:asciiTheme="minorHAnsi" w:hAnsiTheme="minorHAnsi"/>
          <w:sz w:val="24"/>
          <w:szCs w:val="24"/>
        </w:rPr>
        <w:t xml:space="preserve">Na zakup i modernizację środków trwałych Spółka wydała w 2014 r. kwotę 231 332,20 zł. Największą część z tej sumy pochłonęły wydatki związane z zakupem śmieciarki bezpylnej na podwoziu DAF za kwotę 153 708,27 zł oraz samochodu do odbioru odpadów VW Transporter, którego cena wyniosła 36 885,93 zł. Przeprowadzono również modernizację systemu monitorowania pojemników za kwotę 34 700,00 zł oraz modernizację samochodu hakowego Star 200 za kwotę 6 468,00 zł.  </w:t>
      </w:r>
    </w:p>
    <w:p w:rsidR="00F0281F" w:rsidRPr="00F0281F" w:rsidRDefault="00F0281F" w:rsidP="00496B9F">
      <w:pPr>
        <w:spacing w:after="0" w:line="240" w:lineRule="auto"/>
        <w:jc w:val="both"/>
        <w:rPr>
          <w:rFonts w:asciiTheme="minorHAnsi" w:hAnsiTheme="minorHAnsi"/>
          <w:b/>
          <w:sz w:val="10"/>
          <w:szCs w:val="24"/>
        </w:rPr>
      </w:pPr>
    </w:p>
    <w:p w:rsidR="00496B9F" w:rsidRPr="00BD17D6" w:rsidRDefault="00496B9F" w:rsidP="00496B9F">
      <w:pPr>
        <w:spacing w:after="0" w:line="240" w:lineRule="auto"/>
        <w:jc w:val="both"/>
        <w:rPr>
          <w:rFonts w:asciiTheme="minorHAnsi" w:hAnsiTheme="minorHAnsi"/>
          <w:b/>
          <w:sz w:val="24"/>
          <w:szCs w:val="24"/>
        </w:rPr>
      </w:pPr>
      <w:r w:rsidRPr="00BD17D6">
        <w:rPr>
          <w:rFonts w:asciiTheme="minorHAnsi" w:hAnsiTheme="minorHAnsi"/>
          <w:b/>
          <w:sz w:val="24"/>
          <w:szCs w:val="24"/>
        </w:rPr>
        <w:t>Zatrudnienie</w:t>
      </w:r>
    </w:p>
    <w:p w:rsidR="00496B9F" w:rsidRPr="00BD17D6" w:rsidRDefault="00496B9F" w:rsidP="00496B9F">
      <w:pPr>
        <w:spacing w:after="0" w:line="240" w:lineRule="auto"/>
        <w:jc w:val="both"/>
        <w:rPr>
          <w:rFonts w:asciiTheme="minorHAnsi" w:hAnsiTheme="minorHAnsi"/>
          <w:sz w:val="24"/>
          <w:szCs w:val="24"/>
        </w:rPr>
      </w:pPr>
      <w:r w:rsidRPr="00BD17D6">
        <w:rPr>
          <w:rFonts w:asciiTheme="minorHAnsi" w:hAnsiTheme="minorHAnsi"/>
          <w:sz w:val="24"/>
          <w:szCs w:val="24"/>
        </w:rPr>
        <w:t xml:space="preserve">Na koniec 2014 r., Spółka zatrudniała w przeliczeniu na pełne etaty 87,54 osoby. </w:t>
      </w:r>
    </w:p>
    <w:p w:rsidR="00496B9F" w:rsidRDefault="00496B9F" w:rsidP="00496B9F">
      <w:pPr>
        <w:spacing w:after="0" w:line="240" w:lineRule="auto"/>
        <w:jc w:val="both"/>
        <w:rPr>
          <w:rFonts w:asciiTheme="minorHAnsi" w:hAnsiTheme="minorHAnsi"/>
          <w:sz w:val="24"/>
          <w:szCs w:val="24"/>
        </w:rPr>
      </w:pPr>
      <w:r w:rsidRPr="00BD17D6">
        <w:rPr>
          <w:rFonts w:asciiTheme="minorHAnsi" w:hAnsiTheme="minorHAnsi"/>
          <w:sz w:val="24"/>
          <w:szCs w:val="24"/>
        </w:rPr>
        <w:t xml:space="preserve">Przeciętne wynagrodzenie wyniosło 3 114,20 zł - w porównaniu do 2 766,10 zł w roku 2013. Koszty Zarządu w badanym roku wyniosły 173 854,84 zł, natomiast koszty działania Rady </w:t>
      </w:r>
      <w:r w:rsidR="004D0DA4" w:rsidRPr="00BD17D6">
        <w:rPr>
          <w:rFonts w:asciiTheme="minorHAnsi" w:hAnsiTheme="minorHAnsi"/>
          <w:sz w:val="24"/>
          <w:szCs w:val="24"/>
        </w:rPr>
        <w:t>Nadzorczej 61 200,00 zł</w:t>
      </w:r>
      <w:r w:rsidRPr="00BD17D6">
        <w:rPr>
          <w:rFonts w:asciiTheme="minorHAnsi" w:hAnsiTheme="minorHAnsi"/>
          <w:sz w:val="24"/>
          <w:szCs w:val="24"/>
        </w:rPr>
        <w:t>.</w:t>
      </w:r>
    </w:p>
    <w:p w:rsidR="00F0281F" w:rsidRPr="00F0281F" w:rsidRDefault="00F0281F" w:rsidP="00496B9F">
      <w:pPr>
        <w:spacing w:after="0" w:line="240" w:lineRule="auto"/>
        <w:jc w:val="both"/>
        <w:rPr>
          <w:rFonts w:asciiTheme="minorHAnsi" w:hAnsiTheme="minorHAnsi"/>
          <w:sz w:val="10"/>
          <w:szCs w:val="24"/>
        </w:rPr>
      </w:pPr>
    </w:p>
    <w:p w:rsidR="00496B9F" w:rsidRPr="00BD17D6" w:rsidRDefault="00496B9F" w:rsidP="00496B9F">
      <w:pPr>
        <w:spacing w:after="0" w:line="240" w:lineRule="auto"/>
        <w:rPr>
          <w:rFonts w:asciiTheme="minorHAnsi" w:hAnsiTheme="minorHAnsi"/>
          <w:sz w:val="10"/>
        </w:rPr>
      </w:pPr>
      <w:r w:rsidRPr="00BD17D6">
        <w:rPr>
          <w:rFonts w:asciiTheme="minorHAnsi" w:hAnsiTheme="minorHAnsi"/>
          <w:b/>
          <w:sz w:val="24"/>
        </w:rPr>
        <w:t>Przychody</w:t>
      </w:r>
      <w:r w:rsidRPr="00BD17D6">
        <w:rPr>
          <w:rFonts w:asciiTheme="minorHAnsi" w:hAnsiTheme="minorHAnsi"/>
          <w:sz w:val="24"/>
        </w:rPr>
        <w:t xml:space="preserve"> </w:t>
      </w:r>
    </w:p>
    <w:p w:rsidR="00496B9F" w:rsidRPr="00BD17D6" w:rsidRDefault="00496B9F" w:rsidP="00496B9F">
      <w:pPr>
        <w:tabs>
          <w:tab w:val="left" w:pos="5529"/>
        </w:tabs>
        <w:spacing w:after="0" w:line="240" w:lineRule="auto"/>
        <w:jc w:val="both"/>
        <w:rPr>
          <w:rFonts w:asciiTheme="minorHAnsi" w:eastAsia="Times New Roman" w:hAnsiTheme="minorHAnsi"/>
          <w:sz w:val="24"/>
          <w:szCs w:val="24"/>
          <w:lang w:eastAsia="pl-PL"/>
        </w:rPr>
      </w:pPr>
      <w:r w:rsidRPr="00BD17D6">
        <w:rPr>
          <w:rFonts w:asciiTheme="minorHAnsi" w:hAnsiTheme="minorHAnsi"/>
          <w:sz w:val="24"/>
        </w:rPr>
        <w:t>W 2014 r. obserwujemy zmniejszenie przychodów ze sprzedaży w stosunku do roku 2013 o</w:t>
      </w:r>
      <w:r w:rsidR="00AB4510">
        <w:rPr>
          <w:rFonts w:asciiTheme="minorHAnsi" w:hAnsiTheme="minorHAnsi"/>
          <w:sz w:val="24"/>
        </w:rPr>
        <w:t> </w:t>
      </w:r>
      <w:r w:rsidRPr="00BD17D6">
        <w:rPr>
          <w:rFonts w:asciiTheme="minorHAnsi" w:hAnsiTheme="minorHAnsi"/>
          <w:sz w:val="24"/>
        </w:rPr>
        <w:t xml:space="preserve">10,64%. Zmniejszeniu uległy też przychody finansowe. Zwiększyły się natomiast pozostałe </w:t>
      </w:r>
      <w:r w:rsidRPr="00BD17D6">
        <w:rPr>
          <w:rFonts w:asciiTheme="minorHAnsi" w:hAnsiTheme="minorHAnsi"/>
          <w:sz w:val="24"/>
        </w:rPr>
        <w:lastRenderedPageBreak/>
        <w:t xml:space="preserve">przychody operacyjne. Łączna wartość przychodów spółki w 2014 r. jest niższa </w:t>
      </w:r>
      <w:r w:rsidR="004D0DA4" w:rsidRPr="00BD17D6">
        <w:rPr>
          <w:rFonts w:asciiTheme="minorHAnsi" w:hAnsiTheme="minorHAnsi"/>
          <w:sz w:val="24"/>
        </w:rPr>
        <w:t>od ubiegłorocznej</w:t>
      </w:r>
      <w:r w:rsidRPr="00BD17D6">
        <w:rPr>
          <w:rFonts w:asciiTheme="minorHAnsi" w:hAnsiTheme="minorHAnsi"/>
          <w:sz w:val="24"/>
        </w:rPr>
        <w:t xml:space="preserve"> o blisko 10,21 %.</w:t>
      </w:r>
    </w:p>
    <w:p w:rsidR="00496B9F" w:rsidRPr="00F0281F" w:rsidRDefault="00496B9F" w:rsidP="00496B9F">
      <w:pPr>
        <w:spacing w:after="0" w:line="240" w:lineRule="auto"/>
        <w:rPr>
          <w:rFonts w:asciiTheme="minorHAnsi" w:hAnsiTheme="minorHAnsi"/>
          <w:sz w:val="14"/>
        </w:rPr>
      </w:pPr>
    </w:p>
    <w:tbl>
      <w:tblPr>
        <w:tblW w:w="4962" w:type="pct"/>
        <w:tblInd w:w="70" w:type="dxa"/>
        <w:tblCellMar>
          <w:left w:w="70" w:type="dxa"/>
          <w:right w:w="70" w:type="dxa"/>
        </w:tblCellMar>
        <w:tblLook w:val="04A0" w:firstRow="1" w:lastRow="0" w:firstColumn="1" w:lastColumn="0" w:noHBand="0" w:noVBand="1"/>
      </w:tblPr>
      <w:tblGrid>
        <w:gridCol w:w="3965"/>
        <w:gridCol w:w="1282"/>
        <w:gridCol w:w="1282"/>
        <w:gridCol w:w="1280"/>
        <w:gridCol w:w="1333"/>
      </w:tblGrid>
      <w:tr w:rsidR="00496B9F" w:rsidRPr="00BD17D6" w:rsidTr="00644E9A">
        <w:trPr>
          <w:trHeight w:val="330"/>
        </w:trPr>
        <w:tc>
          <w:tcPr>
            <w:tcW w:w="2169" w:type="pct"/>
            <w:tcBorders>
              <w:top w:val="single" w:sz="4" w:space="0" w:color="auto"/>
              <w:left w:val="single" w:sz="4" w:space="0" w:color="auto"/>
              <w:bottom w:val="nil"/>
              <w:right w:val="single" w:sz="4" w:space="0" w:color="auto"/>
            </w:tcBorders>
            <w:shd w:val="clear" w:color="000000" w:fill="C0C0C0"/>
            <w:noWrap/>
            <w:vAlign w:val="center"/>
            <w:hideMark/>
          </w:tcPr>
          <w:p w:rsidR="00496B9F" w:rsidRPr="00BD17D6" w:rsidRDefault="00496B9F"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Treść</w:t>
            </w:r>
          </w:p>
        </w:tc>
        <w:tc>
          <w:tcPr>
            <w:tcW w:w="701" w:type="pct"/>
            <w:tcBorders>
              <w:top w:val="single" w:sz="4" w:space="0" w:color="auto"/>
              <w:left w:val="nil"/>
              <w:bottom w:val="single" w:sz="4" w:space="0" w:color="auto"/>
              <w:right w:val="single" w:sz="4" w:space="0" w:color="auto"/>
            </w:tcBorders>
            <w:shd w:val="clear" w:color="000000" w:fill="C0C0C0"/>
            <w:noWrap/>
            <w:vAlign w:val="center"/>
            <w:hideMark/>
          </w:tcPr>
          <w:p w:rsidR="00496B9F" w:rsidRPr="00BD17D6" w:rsidRDefault="00496B9F"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2011</w:t>
            </w:r>
          </w:p>
        </w:tc>
        <w:tc>
          <w:tcPr>
            <w:tcW w:w="701" w:type="pct"/>
            <w:tcBorders>
              <w:top w:val="single" w:sz="4" w:space="0" w:color="auto"/>
              <w:left w:val="nil"/>
              <w:bottom w:val="single" w:sz="4" w:space="0" w:color="auto"/>
              <w:right w:val="single" w:sz="4" w:space="0" w:color="auto"/>
            </w:tcBorders>
            <w:shd w:val="clear" w:color="000000" w:fill="C0C0C0"/>
            <w:noWrap/>
            <w:vAlign w:val="center"/>
            <w:hideMark/>
          </w:tcPr>
          <w:p w:rsidR="00496B9F" w:rsidRPr="00BD17D6" w:rsidRDefault="00496B9F"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2012</w:t>
            </w:r>
          </w:p>
        </w:tc>
        <w:tc>
          <w:tcPr>
            <w:tcW w:w="700" w:type="pct"/>
            <w:tcBorders>
              <w:top w:val="single" w:sz="4" w:space="0" w:color="auto"/>
              <w:left w:val="nil"/>
              <w:bottom w:val="single" w:sz="4" w:space="0" w:color="auto"/>
              <w:right w:val="single" w:sz="4" w:space="0" w:color="auto"/>
            </w:tcBorders>
            <w:shd w:val="clear" w:color="000000" w:fill="C0C0C0"/>
            <w:noWrap/>
            <w:vAlign w:val="center"/>
            <w:hideMark/>
          </w:tcPr>
          <w:p w:rsidR="00496B9F" w:rsidRPr="00BD17D6" w:rsidRDefault="00496B9F"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2013</w:t>
            </w:r>
          </w:p>
        </w:tc>
        <w:tc>
          <w:tcPr>
            <w:tcW w:w="730" w:type="pct"/>
            <w:tcBorders>
              <w:top w:val="single" w:sz="4" w:space="0" w:color="auto"/>
              <w:left w:val="nil"/>
              <w:bottom w:val="single" w:sz="4" w:space="0" w:color="auto"/>
              <w:right w:val="single" w:sz="4" w:space="0" w:color="auto"/>
            </w:tcBorders>
            <w:shd w:val="clear" w:color="000000" w:fill="C0C0C0"/>
            <w:noWrap/>
            <w:vAlign w:val="center"/>
            <w:hideMark/>
          </w:tcPr>
          <w:p w:rsidR="00496B9F" w:rsidRPr="00BD17D6" w:rsidRDefault="00496B9F"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2014</w:t>
            </w:r>
          </w:p>
        </w:tc>
      </w:tr>
      <w:tr w:rsidR="00496B9F" w:rsidRPr="00BD17D6" w:rsidTr="001958EC">
        <w:trPr>
          <w:trHeight w:val="330"/>
        </w:trPr>
        <w:tc>
          <w:tcPr>
            <w:tcW w:w="21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B9F" w:rsidRPr="00BD17D6" w:rsidRDefault="00496B9F" w:rsidP="001958EC">
            <w:pPr>
              <w:spacing w:after="0" w:line="240" w:lineRule="auto"/>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 xml:space="preserve">PRZYCHODY ZE SPRZEDAŻY </w:t>
            </w:r>
          </w:p>
        </w:tc>
        <w:tc>
          <w:tcPr>
            <w:tcW w:w="701"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1958EC">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9 686 693,28</w:t>
            </w:r>
          </w:p>
        </w:tc>
        <w:tc>
          <w:tcPr>
            <w:tcW w:w="701"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1958EC">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9 498 540,63</w:t>
            </w:r>
          </w:p>
        </w:tc>
        <w:tc>
          <w:tcPr>
            <w:tcW w:w="700"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1958EC">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9 640 768,08</w:t>
            </w:r>
          </w:p>
        </w:tc>
        <w:tc>
          <w:tcPr>
            <w:tcW w:w="730"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1958EC">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8 614 718,05</w:t>
            </w:r>
          </w:p>
        </w:tc>
      </w:tr>
      <w:tr w:rsidR="00496B9F" w:rsidRPr="00BD17D6" w:rsidTr="001958EC">
        <w:trPr>
          <w:trHeight w:val="33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496B9F" w:rsidRPr="00BD17D6" w:rsidRDefault="00496B9F" w:rsidP="001958EC">
            <w:pPr>
              <w:spacing w:after="0" w:line="240" w:lineRule="auto"/>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POZOSTAŁE PRZYCHODY OPERACYJNE</w:t>
            </w:r>
          </w:p>
        </w:tc>
        <w:tc>
          <w:tcPr>
            <w:tcW w:w="701"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1958EC">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61 625,50</w:t>
            </w:r>
          </w:p>
        </w:tc>
        <w:tc>
          <w:tcPr>
            <w:tcW w:w="701"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1958EC">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24 222,24</w:t>
            </w:r>
          </w:p>
        </w:tc>
        <w:tc>
          <w:tcPr>
            <w:tcW w:w="700"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1958EC">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133 267,67</w:t>
            </w:r>
          </w:p>
        </w:tc>
        <w:tc>
          <w:tcPr>
            <w:tcW w:w="730"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1958EC">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164 585,12</w:t>
            </w:r>
          </w:p>
        </w:tc>
      </w:tr>
      <w:tr w:rsidR="00496B9F" w:rsidRPr="00BD17D6" w:rsidTr="001958EC">
        <w:trPr>
          <w:trHeight w:val="33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496B9F" w:rsidRPr="00BD17D6" w:rsidRDefault="00496B9F" w:rsidP="001958EC">
            <w:pPr>
              <w:spacing w:after="0" w:line="240" w:lineRule="auto"/>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PRZYCHODY FINANSOWE</w:t>
            </w:r>
          </w:p>
        </w:tc>
        <w:tc>
          <w:tcPr>
            <w:tcW w:w="701"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1958EC">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12 577,09</w:t>
            </w:r>
          </w:p>
        </w:tc>
        <w:tc>
          <w:tcPr>
            <w:tcW w:w="701"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1958EC">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25 417,69</w:t>
            </w:r>
          </w:p>
        </w:tc>
        <w:tc>
          <w:tcPr>
            <w:tcW w:w="700"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1958EC">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18 533,83</w:t>
            </w:r>
          </w:p>
        </w:tc>
        <w:tc>
          <w:tcPr>
            <w:tcW w:w="730"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1958EC">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13 252,47</w:t>
            </w:r>
          </w:p>
        </w:tc>
      </w:tr>
    </w:tbl>
    <w:p w:rsidR="00496B9F" w:rsidRPr="00E8066D" w:rsidRDefault="00496B9F" w:rsidP="00496B9F">
      <w:pPr>
        <w:spacing w:after="0" w:line="240" w:lineRule="auto"/>
        <w:rPr>
          <w:rFonts w:asciiTheme="minorHAnsi" w:hAnsiTheme="minorHAnsi"/>
          <w:sz w:val="10"/>
        </w:rPr>
      </w:pPr>
    </w:p>
    <w:p w:rsidR="00496B9F" w:rsidRPr="00BD17D6" w:rsidRDefault="00496B9F" w:rsidP="00496B9F">
      <w:pPr>
        <w:spacing w:after="0" w:line="240" w:lineRule="auto"/>
        <w:rPr>
          <w:rFonts w:asciiTheme="minorHAnsi" w:hAnsiTheme="minorHAnsi"/>
          <w:b/>
          <w:sz w:val="10"/>
          <w:szCs w:val="24"/>
        </w:rPr>
      </w:pPr>
      <w:r w:rsidRPr="00BD17D6">
        <w:rPr>
          <w:rFonts w:asciiTheme="minorHAnsi" w:hAnsiTheme="minorHAnsi"/>
          <w:b/>
          <w:sz w:val="24"/>
          <w:szCs w:val="24"/>
        </w:rPr>
        <w:t>Koszty</w:t>
      </w:r>
    </w:p>
    <w:p w:rsidR="00496B9F" w:rsidRPr="00BD17D6" w:rsidRDefault="00496B9F" w:rsidP="00496B9F">
      <w:pPr>
        <w:spacing w:after="0" w:line="240" w:lineRule="auto"/>
        <w:jc w:val="both"/>
        <w:rPr>
          <w:rFonts w:asciiTheme="minorHAnsi" w:hAnsiTheme="minorHAnsi"/>
          <w:sz w:val="24"/>
        </w:rPr>
      </w:pPr>
      <w:r w:rsidRPr="00BD17D6">
        <w:rPr>
          <w:rFonts w:asciiTheme="minorHAnsi" w:hAnsiTheme="minorHAnsi"/>
          <w:sz w:val="24"/>
        </w:rPr>
        <w:t>Wśród kosztów działalności operacyjnej Spółki najważniejsze pozycje w 2014 r. stanowiły: wynagrodzenia - 3 373 062,85 zł, usługi obce – 2 048 288,10 zł, zużycie materiałów i energii – 1 840 924,39 zł. W dalszej kolejności na koszty Spółki składają się ubezpieczenia społeczne i</w:t>
      </w:r>
      <w:r w:rsidR="00AB4510">
        <w:rPr>
          <w:rFonts w:asciiTheme="minorHAnsi" w:hAnsiTheme="minorHAnsi"/>
          <w:sz w:val="24"/>
        </w:rPr>
        <w:t> </w:t>
      </w:r>
      <w:r w:rsidRPr="00BD17D6">
        <w:rPr>
          <w:rFonts w:asciiTheme="minorHAnsi" w:hAnsiTheme="minorHAnsi"/>
          <w:sz w:val="24"/>
        </w:rPr>
        <w:t>inne świadczenia – 763 666,60 zł oraz podatki – 437 323,83 zł i amortyzacja – 298 078,40 zł.</w:t>
      </w:r>
    </w:p>
    <w:p w:rsidR="00496B9F" w:rsidRPr="00BD17D6" w:rsidRDefault="00496B9F" w:rsidP="00496B9F">
      <w:pPr>
        <w:spacing w:after="0" w:line="240" w:lineRule="auto"/>
        <w:jc w:val="both"/>
        <w:rPr>
          <w:rFonts w:asciiTheme="minorHAnsi" w:hAnsiTheme="minorHAnsi"/>
          <w:sz w:val="20"/>
        </w:rPr>
      </w:pPr>
    </w:p>
    <w:tbl>
      <w:tblPr>
        <w:tblW w:w="4962" w:type="pct"/>
        <w:tblInd w:w="70" w:type="dxa"/>
        <w:tblCellMar>
          <w:left w:w="70" w:type="dxa"/>
          <w:right w:w="70" w:type="dxa"/>
        </w:tblCellMar>
        <w:tblLook w:val="04A0" w:firstRow="1" w:lastRow="0" w:firstColumn="1" w:lastColumn="0" w:noHBand="0" w:noVBand="1"/>
      </w:tblPr>
      <w:tblGrid>
        <w:gridCol w:w="3965"/>
        <w:gridCol w:w="1282"/>
        <w:gridCol w:w="1282"/>
        <w:gridCol w:w="1280"/>
        <w:gridCol w:w="1333"/>
      </w:tblGrid>
      <w:tr w:rsidR="00496B9F" w:rsidRPr="00BD17D6" w:rsidTr="00644E9A">
        <w:trPr>
          <w:trHeight w:val="330"/>
        </w:trPr>
        <w:tc>
          <w:tcPr>
            <w:tcW w:w="2169" w:type="pct"/>
            <w:tcBorders>
              <w:top w:val="single" w:sz="4" w:space="0" w:color="auto"/>
              <w:left w:val="single" w:sz="4" w:space="0" w:color="auto"/>
              <w:bottom w:val="nil"/>
              <w:right w:val="single" w:sz="4" w:space="0" w:color="auto"/>
            </w:tcBorders>
            <w:shd w:val="clear" w:color="000000" w:fill="C0C0C0"/>
            <w:noWrap/>
            <w:vAlign w:val="center"/>
            <w:hideMark/>
          </w:tcPr>
          <w:p w:rsidR="00496B9F" w:rsidRPr="00BD17D6" w:rsidRDefault="00496B9F"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Treść</w:t>
            </w:r>
          </w:p>
        </w:tc>
        <w:tc>
          <w:tcPr>
            <w:tcW w:w="701" w:type="pct"/>
            <w:tcBorders>
              <w:top w:val="single" w:sz="4" w:space="0" w:color="auto"/>
              <w:left w:val="nil"/>
              <w:bottom w:val="single" w:sz="4" w:space="0" w:color="auto"/>
              <w:right w:val="single" w:sz="4" w:space="0" w:color="auto"/>
            </w:tcBorders>
            <w:shd w:val="clear" w:color="000000" w:fill="C0C0C0"/>
            <w:noWrap/>
            <w:vAlign w:val="center"/>
            <w:hideMark/>
          </w:tcPr>
          <w:p w:rsidR="00496B9F" w:rsidRPr="00BD17D6" w:rsidRDefault="00496B9F"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2011</w:t>
            </w:r>
          </w:p>
        </w:tc>
        <w:tc>
          <w:tcPr>
            <w:tcW w:w="701" w:type="pct"/>
            <w:tcBorders>
              <w:top w:val="single" w:sz="4" w:space="0" w:color="auto"/>
              <w:left w:val="nil"/>
              <w:bottom w:val="single" w:sz="4" w:space="0" w:color="auto"/>
              <w:right w:val="single" w:sz="4" w:space="0" w:color="auto"/>
            </w:tcBorders>
            <w:shd w:val="clear" w:color="000000" w:fill="C0C0C0"/>
            <w:noWrap/>
            <w:vAlign w:val="center"/>
            <w:hideMark/>
          </w:tcPr>
          <w:p w:rsidR="00496B9F" w:rsidRPr="00BD17D6" w:rsidRDefault="00496B9F"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2012</w:t>
            </w:r>
          </w:p>
        </w:tc>
        <w:tc>
          <w:tcPr>
            <w:tcW w:w="700" w:type="pct"/>
            <w:tcBorders>
              <w:top w:val="single" w:sz="4" w:space="0" w:color="auto"/>
              <w:left w:val="nil"/>
              <w:bottom w:val="single" w:sz="4" w:space="0" w:color="auto"/>
              <w:right w:val="single" w:sz="4" w:space="0" w:color="auto"/>
            </w:tcBorders>
            <w:shd w:val="clear" w:color="000000" w:fill="C0C0C0"/>
            <w:noWrap/>
            <w:vAlign w:val="center"/>
            <w:hideMark/>
          </w:tcPr>
          <w:p w:rsidR="00496B9F" w:rsidRPr="00BD17D6" w:rsidRDefault="00496B9F"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2013</w:t>
            </w:r>
          </w:p>
        </w:tc>
        <w:tc>
          <w:tcPr>
            <w:tcW w:w="730" w:type="pct"/>
            <w:tcBorders>
              <w:top w:val="single" w:sz="4" w:space="0" w:color="auto"/>
              <w:left w:val="nil"/>
              <w:bottom w:val="single" w:sz="4" w:space="0" w:color="auto"/>
              <w:right w:val="single" w:sz="4" w:space="0" w:color="auto"/>
            </w:tcBorders>
            <w:shd w:val="clear" w:color="000000" w:fill="C0C0C0"/>
            <w:noWrap/>
            <w:vAlign w:val="center"/>
            <w:hideMark/>
          </w:tcPr>
          <w:p w:rsidR="00496B9F" w:rsidRPr="00BD17D6" w:rsidRDefault="00496B9F"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2014</w:t>
            </w:r>
          </w:p>
        </w:tc>
      </w:tr>
      <w:tr w:rsidR="00496B9F" w:rsidRPr="00BD17D6" w:rsidTr="001958EC">
        <w:trPr>
          <w:trHeight w:val="330"/>
        </w:trPr>
        <w:tc>
          <w:tcPr>
            <w:tcW w:w="21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KOSZTY DZIAŁALNOŚCI OPERACYJNEJ</w:t>
            </w:r>
          </w:p>
        </w:tc>
        <w:tc>
          <w:tcPr>
            <w:tcW w:w="701"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1958EC">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9 589 599,40</w:t>
            </w:r>
          </w:p>
        </w:tc>
        <w:tc>
          <w:tcPr>
            <w:tcW w:w="701"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1958EC">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9 606 409,68</w:t>
            </w:r>
          </w:p>
        </w:tc>
        <w:tc>
          <w:tcPr>
            <w:tcW w:w="700"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1958EC">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9 769 204,70</w:t>
            </w:r>
          </w:p>
        </w:tc>
        <w:tc>
          <w:tcPr>
            <w:tcW w:w="730"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1958EC">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8 879 501,28</w:t>
            </w:r>
          </w:p>
        </w:tc>
      </w:tr>
      <w:tr w:rsidR="00496B9F" w:rsidRPr="00BD17D6" w:rsidTr="001958EC">
        <w:trPr>
          <w:trHeight w:val="33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POZOSTAŁE KOSZTY OPERACYJNE</w:t>
            </w:r>
          </w:p>
        </w:tc>
        <w:tc>
          <w:tcPr>
            <w:tcW w:w="701"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1958EC">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15 944,80</w:t>
            </w:r>
          </w:p>
        </w:tc>
        <w:tc>
          <w:tcPr>
            <w:tcW w:w="701"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1958EC">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26 949,98</w:t>
            </w:r>
          </w:p>
        </w:tc>
        <w:tc>
          <w:tcPr>
            <w:tcW w:w="700"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1958EC">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17 446,31</w:t>
            </w:r>
          </w:p>
        </w:tc>
        <w:tc>
          <w:tcPr>
            <w:tcW w:w="730"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1958EC">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51 895,43</w:t>
            </w:r>
          </w:p>
        </w:tc>
      </w:tr>
      <w:tr w:rsidR="00496B9F" w:rsidRPr="00BD17D6" w:rsidTr="001958EC">
        <w:trPr>
          <w:trHeight w:val="33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KOSZTY FINANSOWE</w:t>
            </w:r>
          </w:p>
        </w:tc>
        <w:tc>
          <w:tcPr>
            <w:tcW w:w="701"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1958EC">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4 207,94</w:t>
            </w:r>
          </w:p>
        </w:tc>
        <w:tc>
          <w:tcPr>
            <w:tcW w:w="701"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1958EC">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2 807,52</w:t>
            </w:r>
          </w:p>
        </w:tc>
        <w:tc>
          <w:tcPr>
            <w:tcW w:w="700"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1958EC">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1 861,13</w:t>
            </w:r>
          </w:p>
        </w:tc>
        <w:tc>
          <w:tcPr>
            <w:tcW w:w="730"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1958EC">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14 754,62</w:t>
            </w:r>
          </w:p>
        </w:tc>
      </w:tr>
    </w:tbl>
    <w:p w:rsidR="00496B9F" w:rsidRPr="00E8066D" w:rsidRDefault="00496B9F" w:rsidP="00496B9F">
      <w:pPr>
        <w:spacing w:after="0" w:line="240" w:lineRule="auto"/>
        <w:rPr>
          <w:rFonts w:asciiTheme="minorHAnsi" w:hAnsiTheme="minorHAnsi"/>
          <w:sz w:val="10"/>
        </w:rPr>
      </w:pPr>
    </w:p>
    <w:p w:rsidR="00496B9F" w:rsidRPr="00BD17D6" w:rsidRDefault="00496B9F" w:rsidP="00496B9F">
      <w:pPr>
        <w:spacing w:after="0" w:line="240" w:lineRule="auto"/>
        <w:rPr>
          <w:rFonts w:asciiTheme="minorHAnsi" w:hAnsiTheme="minorHAnsi"/>
          <w:b/>
          <w:sz w:val="10"/>
        </w:rPr>
      </w:pPr>
      <w:r w:rsidRPr="00BD17D6">
        <w:rPr>
          <w:rFonts w:asciiTheme="minorHAnsi" w:hAnsiTheme="minorHAnsi"/>
          <w:b/>
          <w:sz w:val="24"/>
        </w:rPr>
        <w:t>Zysk</w:t>
      </w:r>
    </w:p>
    <w:p w:rsidR="00496B9F" w:rsidRPr="00BD17D6" w:rsidRDefault="00496B9F" w:rsidP="00496B9F">
      <w:pPr>
        <w:spacing w:after="0" w:line="240" w:lineRule="auto"/>
        <w:jc w:val="both"/>
        <w:rPr>
          <w:rFonts w:asciiTheme="minorHAnsi" w:hAnsiTheme="minorHAnsi"/>
          <w:sz w:val="24"/>
        </w:rPr>
      </w:pPr>
      <w:r w:rsidRPr="00BD17D6">
        <w:rPr>
          <w:rFonts w:asciiTheme="minorHAnsi" w:hAnsiTheme="minorHAnsi"/>
          <w:sz w:val="24"/>
        </w:rPr>
        <w:t xml:space="preserve">W 2014 r. Spółka osiągnęła ujemny wynik finansowy. Niepokojący jest wysoki poziom straty, który pojawił się w analizowanym roku. </w:t>
      </w:r>
    </w:p>
    <w:p w:rsidR="00496B9F" w:rsidRPr="00BD17D6" w:rsidRDefault="00496B9F" w:rsidP="00496B9F">
      <w:pPr>
        <w:spacing w:after="0" w:line="240" w:lineRule="auto"/>
        <w:rPr>
          <w:rFonts w:asciiTheme="minorHAnsi" w:hAnsiTheme="minorHAnsi"/>
          <w:sz w:val="16"/>
        </w:rPr>
      </w:pPr>
    </w:p>
    <w:tbl>
      <w:tblPr>
        <w:tblW w:w="4962" w:type="pct"/>
        <w:tblInd w:w="70" w:type="dxa"/>
        <w:tblCellMar>
          <w:left w:w="70" w:type="dxa"/>
          <w:right w:w="70" w:type="dxa"/>
        </w:tblCellMar>
        <w:tblLook w:val="04A0" w:firstRow="1" w:lastRow="0" w:firstColumn="1" w:lastColumn="0" w:noHBand="0" w:noVBand="1"/>
      </w:tblPr>
      <w:tblGrid>
        <w:gridCol w:w="3686"/>
        <w:gridCol w:w="1364"/>
        <w:gridCol w:w="1364"/>
        <w:gridCol w:w="1364"/>
        <w:gridCol w:w="1364"/>
      </w:tblGrid>
      <w:tr w:rsidR="00496B9F" w:rsidRPr="00BD17D6" w:rsidTr="00644E9A">
        <w:trPr>
          <w:trHeight w:val="330"/>
        </w:trPr>
        <w:tc>
          <w:tcPr>
            <w:tcW w:w="2016" w:type="pct"/>
            <w:tcBorders>
              <w:top w:val="single" w:sz="4" w:space="0" w:color="auto"/>
              <w:left w:val="single" w:sz="4" w:space="0" w:color="auto"/>
              <w:bottom w:val="nil"/>
              <w:right w:val="single" w:sz="4" w:space="0" w:color="auto"/>
            </w:tcBorders>
            <w:shd w:val="clear" w:color="000000" w:fill="C0C0C0"/>
            <w:noWrap/>
            <w:vAlign w:val="center"/>
            <w:hideMark/>
          </w:tcPr>
          <w:p w:rsidR="00496B9F" w:rsidRPr="00BD17D6" w:rsidRDefault="00496B9F"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Treść</w:t>
            </w:r>
          </w:p>
        </w:tc>
        <w:tc>
          <w:tcPr>
            <w:tcW w:w="746" w:type="pct"/>
            <w:tcBorders>
              <w:top w:val="single" w:sz="4" w:space="0" w:color="auto"/>
              <w:left w:val="nil"/>
              <w:bottom w:val="single" w:sz="4" w:space="0" w:color="auto"/>
              <w:right w:val="single" w:sz="4" w:space="0" w:color="auto"/>
            </w:tcBorders>
            <w:shd w:val="clear" w:color="000000" w:fill="C0C0C0"/>
            <w:noWrap/>
            <w:vAlign w:val="center"/>
            <w:hideMark/>
          </w:tcPr>
          <w:p w:rsidR="00496B9F" w:rsidRPr="00BD17D6" w:rsidRDefault="00496B9F"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2011</w:t>
            </w:r>
          </w:p>
        </w:tc>
        <w:tc>
          <w:tcPr>
            <w:tcW w:w="746" w:type="pct"/>
            <w:tcBorders>
              <w:top w:val="single" w:sz="4" w:space="0" w:color="auto"/>
              <w:left w:val="nil"/>
              <w:bottom w:val="single" w:sz="4" w:space="0" w:color="auto"/>
              <w:right w:val="single" w:sz="4" w:space="0" w:color="auto"/>
            </w:tcBorders>
            <w:shd w:val="clear" w:color="000000" w:fill="C0C0C0"/>
            <w:noWrap/>
            <w:vAlign w:val="center"/>
            <w:hideMark/>
          </w:tcPr>
          <w:p w:rsidR="00496B9F" w:rsidRPr="00BD17D6" w:rsidRDefault="00496B9F"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2012</w:t>
            </w:r>
          </w:p>
        </w:tc>
        <w:tc>
          <w:tcPr>
            <w:tcW w:w="746" w:type="pct"/>
            <w:tcBorders>
              <w:top w:val="single" w:sz="4" w:space="0" w:color="auto"/>
              <w:left w:val="nil"/>
              <w:bottom w:val="single" w:sz="4" w:space="0" w:color="auto"/>
              <w:right w:val="single" w:sz="4" w:space="0" w:color="auto"/>
            </w:tcBorders>
            <w:shd w:val="clear" w:color="000000" w:fill="C0C0C0"/>
            <w:noWrap/>
            <w:vAlign w:val="center"/>
            <w:hideMark/>
          </w:tcPr>
          <w:p w:rsidR="00496B9F" w:rsidRPr="00BD17D6" w:rsidRDefault="00496B9F"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2013</w:t>
            </w:r>
          </w:p>
        </w:tc>
        <w:tc>
          <w:tcPr>
            <w:tcW w:w="746" w:type="pct"/>
            <w:tcBorders>
              <w:top w:val="single" w:sz="4" w:space="0" w:color="auto"/>
              <w:left w:val="nil"/>
              <w:bottom w:val="single" w:sz="4" w:space="0" w:color="auto"/>
              <w:right w:val="single" w:sz="4" w:space="0" w:color="auto"/>
            </w:tcBorders>
            <w:shd w:val="clear" w:color="000000" w:fill="C0C0C0"/>
            <w:noWrap/>
            <w:vAlign w:val="center"/>
            <w:hideMark/>
          </w:tcPr>
          <w:p w:rsidR="00496B9F" w:rsidRPr="00BD17D6" w:rsidRDefault="00496B9F"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2014</w:t>
            </w:r>
          </w:p>
        </w:tc>
      </w:tr>
      <w:tr w:rsidR="00496B9F" w:rsidRPr="00BD17D6" w:rsidTr="008A41D4">
        <w:trPr>
          <w:trHeight w:val="330"/>
        </w:trPr>
        <w:tc>
          <w:tcPr>
            <w:tcW w:w="20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ZYSK ZE SPRZEDAŻY</w:t>
            </w:r>
          </w:p>
        </w:tc>
        <w:tc>
          <w:tcPr>
            <w:tcW w:w="746"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97 093,88</w:t>
            </w:r>
          </w:p>
        </w:tc>
        <w:tc>
          <w:tcPr>
            <w:tcW w:w="746"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-107 869,05</w:t>
            </w:r>
          </w:p>
        </w:tc>
        <w:tc>
          <w:tcPr>
            <w:tcW w:w="746"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-128 436,62</w:t>
            </w:r>
          </w:p>
        </w:tc>
        <w:tc>
          <w:tcPr>
            <w:tcW w:w="746"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-264 783,23</w:t>
            </w:r>
          </w:p>
        </w:tc>
      </w:tr>
      <w:tr w:rsidR="00496B9F" w:rsidRPr="00BD17D6" w:rsidTr="008A41D4">
        <w:trPr>
          <w:trHeight w:val="330"/>
        </w:trPr>
        <w:tc>
          <w:tcPr>
            <w:tcW w:w="2016" w:type="pct"/>
            <w:tcBorders>
              <w:top w:val="nil"/>
              <w:left w:val="single" w:sz="4" w:space="0" w:color="auto"/>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ZYSK Z DZIAŁALNOŚCI OPERACYJNEJ</w:t>
            </w:r>
          </w:p>
        </w:tc>
        <w:tc>
          <w:tcPr>
            <w:tcW w:w="746"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142 774,58</w:t>
            </w:r>
          </w:p>
        </w:tc>
        <w:tc>
          <w:tcPr>
            <w:tcW w:w="746"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-110 596,79</w:t>
            </w:r>
          </w:p>
        </w:tc>
        <w:tc>
          <w:tcPr>
            <w:tcW w:w="746"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-12 615,26</w:t>
            </w:r>
          </w:p>
        </w:tc>
        <w:tc>
          <w:tcPr>
            <w:tcW w:w="746"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-152 093,54</w:t>
            </w:r>
          </w:p>
        </w:tc>
      </w:tr>
      <w:tr w:rsidR="00496B9F" w:rsidRPr="00BD17D6" w:rsidTr="008A41D4">
        <w:trPr>
          <w:trHeight w:val="330"/>
        </w:trPr>
        <w:tc>
          <w:tcPr>
            <w:tcW w:w="2016" w:type="pct"/>
            <w:tcBorders>
              <w:top w:val="nil"/>
              <w:left w:val="single" w:sz="4" w:space="0" w:color="auto"/>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ZYSK BRUTTO</w:t>
            </w:r>
          </w:p>
        </w:tc>
        <w:tc>
          <w:tcPr>
            <w:tcW w:w="746"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151 143,73</w:t>
            </w:r>
          </w:p>
        </w:tc>
        <w:tc>
          <w:tcPr>
            <w:tcW w:w="746"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-87 986,62</w:t>
            </w:r>
          </w:p>
        </w:tc>
        <w:tc>
          <w:tcPr>
            <w:tcW w:w="746"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4 057,44</w:t>
            </w:r>
          </w:p>
        </w:tc>
        <w:tc>
          <w:tcPr>
            <w:tcW w:w="746"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-153 595,69</w:t>
            </w:r>
          </w:p>
        </w:tc>
      </w:tr>
      <w:tr w:rsidR="00496B9F" w:rsidRPr="00BD17D6" w:rsidTr="008A41D4">
        <w:trPr>
          <w:trHeight w:val="330"/>
        </w:trPr>
        <w:tc>
          <w:tcPr>
            <w:tcW w:w="2016" w:type="pct"/>
            <w:tcBorders>
              <w:top w:val="nil"/>
              <w:left w:val="single" w:sz="4" w:space="0" w:color="auto"/>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rPr>
                <w:rFonts w:asciiTheme="minorHAnsi" w:eastAsia="Times New Roman" w:hAnsiTheme="minorHAnsi" w:cs="Arial"/>
                <w:lang w:eastAsia="pl-PL"/>
              </w:rPr>
            </w:pPr>
            <w:r w:rsidRPr="00BD17D6">
              <w:rPr>
                <w:rFonts w:asciiTheme="minorHAnsi" w:eastAsia="Times New Roman" w:hAnsiTheme="minorHAnsi" w:cs="Arial"/>
                <w:lang w:eastAsia="pl-PL"/>
              </w:rPr>
              <w:t>ZYSK NETTO</w:t>
            </w:r>
          </w:p>
        </w:tc>
        <w:tc>
          <w:tcPr>
            <w:tcW w:w="746"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jc w:val="right"/>
              <w:rPr>
                <w:rFonts w:asciiTheme="minorHAnsi" w:eastAsia="Times New Roman" w:hAnsiTheme="minorHAnsi" w:cs="Arial"/>
                <w:lang w:eastAsia="pl-PL"/>
              </w:rPr>
            </w:pPr>
            <w:r w:rsidRPr="00BD17D6">
              <w:rPr>
                <w:rFonts w:asciiTheme="minorHAnsi" w:eastAsia="Times New Roman" w:hAnsiTheme="minorHAnsi" w:cs="Arial"/>
                <w:lang w:eastAsia="pl-PL"/>
              </w:rPr>
              <w:t>151 143,73</w:t>
            </w:r>
          </w:p>
        </w:tc>
        <w:tc>
          <w:tcPr>
            <w:tcW w:w="746"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jc w:val="right"/>
              <w:rPr>
                <w:rFonts w:asciiTheme="minorHAnsi" w:eastAsia="Times New Roman" w:hAnsiTheme="minorHAnsi" w:cs="Arial"/>
                <w:lang w:eastAsia="pl-PL"/>
              </w:rPr>
            </w:pPr>
            <w:r w:rsidRPr="00BD17D6">
              <w:rPr>
                <w:rFonts w:asciiTheme="minorHAnsi" w:eastAsia="Times New Roman" w:hAnsiTheme="minorHAnsi" w:cs="Arial"/>
                <w:lang w:eastAsia="pl-PL"/>
              </w:rPr>
              <w:t>-87 986,62</w:t>
            </w:r>
          </w:p>
        </w:tc>
        <w:tc>
          <w:tcPr>
            <w:tcW w:w="746"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jc w:val="right"/>
              <w:rPr>
                <w:rFonts w:asciiTheme="minorHAnsi" w:eastAsia="Times New Roman" w:hAnsiTheme="minorHAnsi" w:cs="Arial"/>
                <w:lang w:eastAsia="pl-PL"/>
              </w:rPr>
            </w:pPr>
            <w:r w:rsidRPr="00BD17D6">
              <w:rPr>
                <w:rFonts w:asciiTheme="minorHAnsi" w:eastAsia="Times New Roman" w:hAnsiTheme="minorHAnsi" w:cs="Arial"/>
                <w:lang w:eastAsia="pl-PL"/>
              </w:rPr>
              <w:t>4 057,44</w:t>
            </w:r>
          </w:p>
        </w:tc>
        <w:tc>
          <w:tcPr>
            <w:tcW w:w="746"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jc w:val="right"/>
              <w:rPr>
                <w:rFonts w:asciiTheme="minorHAnsi" w:eastAsia="Times New Roman" w:hAnsiTheme="minorHAnsi" w:cs="Arial"/>
                <w:lang w:eastAsia="pl-PL"/>
              </w:rPr>
            </w:pPr>
            <w:r w:rsidRPr="00BD17D6">
              <w:rPr>
                <w:rFonts w:asciiTheme="minorHAnsi" w:eastAsia="Times New Roman" w:hAnsiTheme="minorHAnsi" w:cs="Arial"/>
                <w:lang w:eastAsia="pl-PL"/>
              </w:rPr>
              <w:t>-153 595,69</w:t>
            </w:r>
          </w:p>
        </w:tc>
      </w:tr>
    </w:tbl>
    <w:p w:rsidR="00496B9F" w:rsidRPr="00E8066D" w:rsidRDefault="00496B9F" w:rsidP="00496B9F">
      <w:pPr>
        <w:spacing w:after="0" w:line="240" w:lineRule="auto"/>
        <w:rPr>
          <w:rFonts w:asciiTheme="minorHAnsi" w:hAnsiTheme="minorHAnsi"/>
          <w:sz w:val="10"/>
        </w:rPr>
      </w:pPr>
    </w:p>
    <w:p w:rsidR="00496B9F" w:rsidRPr="00BD17D6" w:rsidRDefault="00496B9F" w:rsidP="00496B9F">
      <w:pPr>
        <w:spacing w:after="0" w:line="240" w:lineRule="auto"/>
        <w:rPr>
          <w:rFonts w:asciiTheme="minorHAnsi" w:hAnsiTheme="minorHAnsi"/>
          <w:b/>
          <w:sz w:val="10"/>
        </w:rPr>
      </w:pPr>
      <w:r w:rsidRPr="00BD17D6">
        <w:rPr>
          <w:rFonts w:asciiTheme="minorHAnsi" w:hAnsiTheme="minorHAnsi"/>
          <w:b/>
          <w:sz w:val="24"/>
        </w:rPr>
        <w:t>Kapitał</w:t>
      </w:r>
    </w:p>
    <w:p w:rsidR="00496B9F" w:rsidRDefault="00496B9F" w:rsidP="00496B9F">
      <w:pPr>
        <w:spacing w:after="0" w:line="240" w:lineRule="auto"/>
        <w:jc w:val="both"/>
        <w:rPr>
          <w:rFonts w:asciiTheme="minorHAnsi" w:hAnsiTheme="minorHAnsi"/>
          <w:sz w:val="24"/>
        </w:rPr>
      </w:pPr>
      <w:r w:rsidRPr="00BD17D6">
        <w:rPr>
          <w:rFonts w:asciiTheme="minorHAnsi" w:hAnsiTheme="minorHAnsi"/>
          <w:sz w:val="24"/>
        </w:rPr>
        <w:t>W 2014 r. kapitał podstawowy nie uległ zmianie. Całość kapitału dzieli się na 6859 udziałów o</w:t>
      </w:r>
      <w:r w:rsidR="00AB4510">
        <w:rPr>
          <w:rFonts w:asciiTheme="minorHAnsi" w:hAnsiTheme="minorHAnsi"/>
          <w:sz w:val="24"/>
        </w:rPr>
        <w:t> </w:t>
      </w:r>
      <w:r w:rsidRPr="00BD17D6">
        <w:rPr>
          <w:rFonts w:asciiTheme="minorHAnsi" w:hAnsiTheme="minorHAnsi"/>
          <w:sz w:val="24"/>
        </w:rPr>
        <w:t xml:space="preserve">wartości 500 zł każdy – wszystkie należą do Gminy Miasto Sieradz. Zwiększenie kapitału zapasowego jest rezultatem przeksięgowania części środków pochodzących z aktualizacji wyceny środków trwałych oraz odpisanie części zysku za rok 2013, zgodnie z uchwałą Zgromadzenia Wspólników.  </w:t>
      </w:r>
    </w:p>
    <w:p w:rsidR="00BD17D6" w:rsidRPr="00BD17D6" w:rsidRDefault="00BD17D6" w:rsidP="00496B9F">
      <w:pPr>
        <w:spacing w:after="0" w:line="240" w:lineRule="auto"/>
        <w:jc w:val="both"/>
        <w:rPr>
          <w:rFonts w:asciiTheme="minorHAnsi" w:hAnsiTheme="minorHAnsi"/>
          <w:sz w:val="18"/>
        </w:rPr>
      </w:pPr>
    </w:p>
    <w:tbl>
      <w:tblPr>
        <w:tblW w:w="4962" w:type="pct"/>
        <w:tblInd w:w="70" w:type="dxa"/>
        <w:tblCellMar>
          <w:left w:w="70" w:type="dxa"/>
          <w:right w:w="70" w:type="dxa"/>
        </w:tblCellMar>
        <w:tblLook w:val="04A0" w:firstRow="1" w:lastRow="0" w:firstColumn="1" w:lastColumn="0" w:noHBand="0" w:noVBand="1"/>
      </w:tblPr>
      <w:tblGrid>
        <w:gridCol w:w="3965"/>
        <w:gridCol w:w="1282"/>
        <w:gridCol w:w="1282"/>
        <w:gridCol w:w="1280"/>
        <w:gridCol w:w="1333"/>
      </w:tblGrid>
      <w:tr w:rsidR="00496B9F" w:rsidRPr="00BD17D6" w:rsidTr="00644E9A">
        <w:trPr>
          <w:trHeight w:val="330"/>
        </w:trPr>
        <w:tc>
          <w:tcPr>
            <w:tcW w:w="2169" w:type="pct"/>
            <w:tcBorders>
              <w:top w:val="single" w:sz="4" w:space="0" w:color="auto"/>
              <w:left w:val="single" w:sz="4" w:space="0" w:color="auto"/>
              <w:bottom w:val="nil"/>
              <w:right w:val="single" w:sz="4" w:space="0" w:color="auto"/>
            </w:tcBorders>
            <w:shd w:val="clear" w:color="000000" w:fill="C0C0C0"/>
            <w:noWrap/>
            <w:vAlign w:val="center"/>
            <w:hideMark/>
          </w:tcPr>
          <w:p w:rsidR="00496B9F" w:rsidRPr="00BD17D6" w:rsidRDefault="00496B9F"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Treść</w:t>
            </w:r>
          </w:p>
        </w:tc>
        <w:tc>
          <w:tcPr>
            <w:tcW w:w="701" w:type="pct"/>
            <w:tcBorders>
              <w:top w:val="single" w:sz="4" w:space="0" w:color="auto"/>
              <w:left w:val="nil"/>
              <w:bottom w:val="single" w:sz="4" w:space="0" w:color="auto"/>
              <w:right w:val="single" w:sz="4" w:space="0" w:color="auto"/>
            </w:tcBorders>
            <w:shd w:val="clear" w:color="000000" w:fill="C0C0C0"/>
            <w:noWrap/>
            <w:vAlign w:val="center"/>
            <w:hideMark/>
          </w:tcPr>
          <w:p w:rsidR="00496B9F" w:rsidRPr="00BD17D6" w:rsidRDefault="00496B9F"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2011</w:t>
            </w:r>
          </w:p>
        </w:tc>
        <w:tc>
          <w:tcPr>
            <w:tcW w:w="701" w:type="pct"/>
            <w:tcBorders>
              <w:top w:val="single" w:sz="4" w:space="0" w:color="auto"/>
              <w:left w:val="nil"/>
              <w:bottom w:val="single" w:sz="4" w:space="0" w:color="auto"/>
              <w:right w:val="single" w:sz="4" w:space="0" w:color="auto"/>
            </w:tcBorders>
            <w:shd w:val="clear" w:color="000000" w:fill="C0C0C0"/>
            <w:noWrap/>
            <w:vAlign w:val="center"/>
            <w:hideMark/>
          </w:tcPr>
          <w:p w:rsidR="00496B9F" w:rsidRPr="00BD17D6" w:rsidRDefault="00496B9F"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2012</w:t>
            </w:r>
          </w:p>
        </w:tc>
        <w:tc>
          <w:tcPr>
            <w:tcW w:w="700" w:type="pct"/>
            <w:tcBorders>
              <w:top w:val="single" w:sz="4" w:space="0" w:color="auto"/>
              <w:left w:val="nil"/>
              <w:bottom w:val="single" w:sz="4" w:space="0" w:color="auto"/>
              <w:right w:val="single" w:sz="4" w:space="0" w:color="auto"/>
            </w:tcBorders>
            <w:shd w:val="clear" w:color="000000" w:fill="C0C0C0"/>
            <w:noWrap/>
            <w:vAlign w:val="center"/>
            <w:hideMark/>
          </w:tcPr>
          <w:p w:rsidR="00496B9F" w:rsidRPr="00BD17D6" w:rsidRDefault="00496B9F"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2013</w:t>
            </w:r>
          </w:p>
        </w:tc>
        <w:tc>
          <w:tcPr>
            <w:tcW w:w="730" w:type="pct"/>
            <w:tcBorders>
              <w:top w:val="single" w:sz="4" w:space="0" w:color="auto"/>
              <w:left w:val="nil"/>
              <w:bottom w:val="single" w:sz="4" w:space="0" w:color="auto"/>
              <w:right w:val="single" w:sz="4" w:space="0" w:color="auto"/>
            </w:tcBorders>
            <w:shd w:val="clear" w:color="000000" w:fill="C0C0C0"/>
            <w:noWrap/>
            <w:vAlign w:val="center"/>
            <w:hideMark/>
          </w:tcPr>
          <w:p w:rsidR="00496B9F" w:rsidRPr="00BD17D6" w:rsidRDefault="00496B9F"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2014</w:t>
            </w:r>
          </w:p>
        </w:tc>
      </w:tr>
      <w:tr w:rsidR="00496B9F" w:rsidRPr="00BD17D6" w:rsidTr="008A41D4">
        <w:trPr>
          <w:trHeight w:val="330"/>
        </w:trPr>
        <w:tc>
          <w:tcPr>
            <w:tcW w:w="21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KAPITAŁ PODSTAWOWY</w:t>
            </w:r>
          </w:p>
        </w:tc>
        <w:tc>
          <w:tcPr>
            <w:tcW w:w="701"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3 429 500,00</w:t>
            </w:r>
          </w:p>
        </w:tc>
        <w:tc>
          <w:tcPr>
            <w:tcW w:w="701"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3 429 500,00</w:t>
            </w:r>
          </w:p>
        </w:tc>
        <w:tc>
          <w:tcPr>
            <w:tcW w:w="700"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3 429 500,00</w:t>
            </w:r>
          </w:p>
        </w:tc>
        <w:tc>
          <w:tcPr>
            <w:tcW w:w="730"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3 429 500,00</w:t>
            </w:r>
          </w:p>
        </w:tc>
      </w:tr>
      <w:tr w:rsidR="00496B9F" w:rsidRPr="00BD17D6" w:rsidTr="008A41D4">
        <w:trPr>
          <w:trHeight w:val="33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KAPITAŁ ZAPASOWY</w:t>
            </w:r>
          </w:p>
        </w:tc>
        <w:tc>
          <w:tcPr>
            <w:tcW w:w="701"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163 249,83</w:t>
            </w:r>
          </w:p>
        </w:tc>
        <w:tc>
          <w:tcPr>
            <w:tcW w:w="701"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268 219,09</w:t>
            </w:r>
          </w:p>
        </w:tc>
        <w:tc>
          <w:tcPr>
            <w:tcW w:w="700"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182 908,21</w:t>
            </w:r>
          </w:p>
        </w:tc>
        <w:tc>
          <w:tcPr>
            <w:tcW w:w="730"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192 265,04</w:t>
            </w:r>
          </w:p>
        </w:tc>
      </w:tr>
      <w:tr w:rsidR="00496B9F" w:rsidRPr="00BD17D6" w:rsidTr="008A41D4">
        <w:trPr>
          <w:trHeight w:val="33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KAPITAŁ Z AKTUALIZACJI WYCENY</w:t>
            </w:r>
          </w:p>
        </w:tc>
        <w:tc>
          <w:tcPr>
            <w:tcW w:w="701"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254 210,18</w:t>
            </w:r>
          </w:p>
        </w:tc>
        <w:tc>
          <w:tcPr>
            <w:tcW w:w="701"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249 240,92</w:t>
            </w:r>
          </w:p>
        </w:tc>
        <w:tc>
          <w:tcPr>
            <w:tcW w:w="700"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246 565,18</w:t>
            </w:r>
          </w:p>
        </w:tc>
        <w:tc>
          <w:tcPr>
            <w:tcW w:w="730"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239 265,79</w:t>
            </w:r>
          </w:p>
        </w:tc>
      </w:tr>
      <w:tr w:rsidR="00496B9F" w:rsidRPr="00BD17D6" w:rsidTr="008A41D4">
        <w:trPr>
          <w:trHeight w:val="330"/>
        </w:trPr>
        <w:tc>
          <w:tcPr>
            <w:tcW w:w="2169" w:type="pct"/>
            <w:tcBorders>
              <w:top w:val="nil"/>
              <w:left w:val="single" w:sz="4" w:space="0" w:color="auto"/>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Pozostałe kapitały (fundusze) rezerwowe</w:t>
            </w:r>
          </w:p>
        </w:tc>
        <w:tc>
          <w:tcPr>
            <w:tcW w:w="701"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0,00</w:t>
            </w:r>
          </w:p>
        </w:tc>
        <w:tc>
          <w:tcPr>
            <w:tcW w:w="701"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0,00</w:t>
            </w:r>
          </w:p>
        </w:tc>
        <w:tc>
          <w:tcPr>
            <w:tcW w:w="700"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0,00</w:t>
            </w:r>
          </w:p>
        </w:tc>
        <w:tc>
          <w:tcPr>
            <w:tcW w:w="730" w:type="pct"/>
            <w:tcBorders>
              <w:top w:val="nil"/>
              <w:left w:val="nil"/>
              <w:bottom w:val="single" w:sz="4" w:space="0" w:color="auto"/>
              <w:right w:val="single" w:sz="4" w:space="0" w:color="auto"/>
            </w:tcBorders>
            <w:shd w:val="clear" w:color="auto" w:fill="auto"/>
            <w:noWrap/>
            <w:vAlign w:val="center"/>
            <w:hideMark/>
          </w:tcPr>
          <w:p w:rsidR="00496B9F" w:rsidRPr="00BD17D6" w:rsidRDefault="00496B9F" w:rsidP="008A41D4">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0,00</w:t>
            </w:r>
          </w:p>
        </w:tc>
      </w:tr>
    </w:tbl>
    <w:p w:rsidR="006452E9" w:rsidRPr="00E8066D" w:rsidRDefault="006452E9" w:rsidP="006452E9">
      <w:pPr>
        <w:pStyle w:val="Bezodstpw"/>
        <w:rPr>
          <w:rFonts w:asciiTheme="minorHAnsi" w:hAnsiTheme="minorHAnsi"/>
          <w:sz w:val="16"/>
        </w:rPr>
      </w:pPr>
    </w:p>
    <w:p w:rsidR="006452E9" w:rsidRPr="00BD17D6" w:rsidRDefault="006452E9" w:rsidP="006452E9">
      <w:pPr>
        <w:pStyle w:val="Bezodstpw"/>
        <w:rPr>
          <w:rFonts w:asciiTheme="minorHAnsi" w:hAnsiTheme="minorHAnsi"/>
          <w:b/>
          <w:sz w:val="24"/>
        </w:rPr>
      </w:pPr>
      <w:r w:rsidRPr="00251A8B">
        <w:rPr>
          <w:rFonts w:asciiTheme="minorHAnsi" w:hAnsiTheme="minorHAnsi"/>
          <w:b/>
          <w:sz w:val="24"/>
        </w:rPr>
        <w:t>Podsumowanie</w:t>
      </w:r>
    </w:p>
    <w:p w:rsidR="00251A8B" w:rsidRPr="00251A8B" w:rsidRDefault="00251A8B" w:rsidP="008B2091">
      <w:pPr>
        <w:pStyle w:val="Bezodstpw"/>
        <w:jc w:val="both"/>
        <w:rPr>
          <w:rFonts w:asciiTheme="minorHAnsi" w:hAnsiTheme="minorHAnsi"/>
          <w:sz w:val="8"/>
          <w:szCs w:val="24"/>
        </w:rPr>
      </w:pPr>
    </w:p>
    <w:p w:rsidR="008B2091" w:rsidRDefault="008B2091" w:rsidP="008B2091">
      <w:pPr>
        <w:pStyle w:val="Bezodstpw"/>
        <w:jc w:val="both"/>
        <w:rPr>
          <w:rFonts w:asciiTheme="minorHAnsi" w:hAnsiTheme="minorHAnsi"/>
          <w:sz w:val="24"/>
          <w:szCs w:val="24"/>
        </w:rPr>
      </w:pPr>
      <w:r w:rsidRPr="00BD17D6">
        <w:rPr>
          <w:rFonts w:asciiTheme="minorHAnsi" w:hAnsiTheme="minorHAnsi"/>
          <w:sz w:val="24"/>
          <w:szCs w:val="24"/>
        </w:rPr>
        <w:t>Zgromadzenie Wspólników zatwierdziło sprawozdania finansowe Spółki oraz udzieliło absolutorium Zarządowi i Radzie Nadzorczej. Podjęto także uchwałę</w:t>
      </w:r>
      <w:r w:rsidR="00251A8B">
        <w:rPr>
          <w:rFonts w:asciiTheme="minorHAnsi" w:hAnsiTheme="minorHAnsi"/>
          <w:sz w:val="24"/>
          <w:szCs w:val="24"/>
        </w:rPr>
        <w:t xml:space="preserve"> o pokryciu straty z</w:t>
      </w:r>
      <w:r w:rsidR="00AB4510">
        <w:rPr>
          <w:rFonts w:asciiTheme="minorHAnsi" w:hAnsiTheme="minorHAnsi"/>
          <w:sz w:val="24"/>
          <w:szCs w:val="24"/>
        </w:rPr>
        <w:t> </w:t>
      </w:r>
      <w:r w:rsidR="00251A8B">
        <w:rPr>
          <w:rFonts w:asciiTheme="minorHAnsi" w:hAnsiTheme="minorHAnsi"/>
          <w:sz w:val="24"/>
          <w:szCs w:val="24"/>
        </w:rPr>
        <w:t xml:space="preserve">działalności w 2014 r. z kapitału zapasowego Spółki. </w:t>
      </w:r>
    </w:p>
    <w:p w:rsidR="00251A8B" w:rsidRPr="00BD17D6" w:rsidRDefault="00251A8B" w:rsidP="008B2091">
      <w:pPr>
        <w:pStyle w:val="Bezodstpw"/>
        <w:jc w:val="both"/>
        <w:rPr>
          <w:rFonts w:asciiTheme="minorHAnsi" w:hAnsiTheme="minorHAnsi"/>
          <w:sz w:val="24"/>
          <w:szCs w:val="24"/>
        </w:rPr>
      </w:pPr>
    </w:p>
    <w:p w:rsidR="006452E9" w:rsidRPr="00BD17D6" w:rsidRDefault="006452E9" w:rsidP="006452E9">
      <w:pPr>
        <w:pStyle w:val="Bezodstpw"/>
        <w:rPr>
          <w:rFonts w:asciiTheme="minorHAnsi" w:hAnsiTheme="minorHAnsi"/>
          <w:b/>
          <w:sz w:val="10"/>
        </w:rPr>
      </w:pPr>
    </w:p>
    <w:p w:rsidR="00286308" w:rsidRPr="00BD17D6" w:rsidRDefault="00286308" w:rsidP="00C03091">
      <w:pPr>
        <w:pStyle w:val="Bezodstpw"/>
        <w:rPr>
          <w:rFonts w:asciiTheme="minorHAnsi" w:hAnsiTheme="minorHAnsi"/>
          <w:b/>
          <w:i/>
          <w:sz w:val="28"/>
          <w:szCs w:val="28"/>
          <w:u w:val="single"/>
        </w:rPr>
      </w:pPr>
      <w:r w:rsidRPr="00BD17D6">
        <w:rPr>
          <w:rFonts w:asciiTheme="minorHAnsi" w:hAnsiTheme="minorHAnsi"/>
          <w:b/>
          <w:i/>
          <w:sz w:val="28"/>
          <w:szCs w:val="28"/>
          <w:u w:val="single"/>
        </w:rPr>
        <w:lastRenderedPageBreak/>
        <w:t>Przedsiębiorstw</w:t>
      </w:r>
      <w:r w:rsidR="00C03091" w:rsidRPr="00BD17D6">
        <w:rPr>
          <w:rFonts w:asciiTheme="minorHAnsi" w:hAnsiTheme="minorHAnsi"/>
          <w:b/>
          <w:i/>
          <w:sz w:val="28"/>
          <w:szCs w:val="28"/>
          <w:u w:val="single"/>
        </w:rPr>
        <w:t>o</w:t>
      </w:r>
      <w:r w:rsidRPr="00BD17D6">
        <w:rPr>
          <w:rFonts w:asciiTheme="minorHAnsi" w:hAnsiTheme="minorHAnsi"/>
          <w:b/>
          <w:i/>
          <w:sz w:val="28"/>
          <w:szCs w:val="28"/>
          <w:u w:val="single"/>
        </w:rPr>
        <w:t xml:space="preserve"> Energetyki Cieplnej</w:t>
      </w:r>
      <w:r w:rsidR="00C03091" w:rsidRPr="00BD17D6">
        <w:rPr>
          <w:rFonts w:asciiTheme="minorHAnsi" w:hAnsiTheme="minorHAnsi"/>
          <w:b/>
          <w:i/>
          <w:sz w:val="28"/>
          <w:szCs w:val="28"/>
          <w:u w:val="single"/>
        </w:rPr>
        <w:t xml:space="preserve"> </w:t>
      </w:r>
      <w:r w:rsidRPr="00BD17D6">
        <w:rPr>
          <w:rFonts w:asciiTheme="minorHAnsi" w:hAnsiTheme="minorHAnsi"/>
          <w:b/>
          <w:i/>
          <w:sz w:val="28"/>
          <w:szCs w:val="28"/>
          <w:u w:val="single"/>
        </w:rPr>
        <w:t xml:space="preserve">Spółka z o.o. w Sieradzu </w:t>
      </w:r>
    </w:p>
    <w:p w:rsidR="000A41E2" w:rsidRPr="00B00B38" w:rsidRDefault="000A41E2" w:rsidP="00C03091">
      <w:pPr>
        <w:pStyle w:val="Bezodstpw"/>
        <w:rPr>
          <w:rFonts w:asciiTheme="minorHAnsi" w:hAnsiTheme="minorHAnsi"/>
          <w:b/>
          <w:sz w:val="20"/>
          <w:szCs w:val="26"/>
          <w:u w:val="single"/>
        </w:rPr>
      </w:pPr>
    </w:p>
    <w:p w:rsidR="001512FC" w:rsidRDefault="001512FC" w:rsidP="001512FC">
      <w:pPr>
        <w:pStyle w:val="Bezodstpw"/>
        <w:jc w:val="both"/>
        <w:rPr>
          <w:rFonts w:asciiTheme="minorHAnsi" w:hAnsiTheme="minorHAnsi"/>
          <w:b/>
          <w:sz w:val="24"/>
        </w:rPr>
      </w:pPr>
      <w:r w:rsidRPr="00BD17D6">
        <w:rPr>
          <w:rFonts w:asciiTheme="minorHAnsi" w:hAnsiTheme="minorHAnsi"/>
          <w:b/>
          <w:sz w:val="24"/>
        </w:rPr>
        <w:t>Działalność Przedsiębiorstwa</w:t>
      </w:r>
    </w:p>
    <w:p w:rsidR="00B00B38" w:rsidRPr="00B00B38" w:rsidRDefault="00B00B38" w:rsidP="001512FC">
      <w:pPr>
        <w:pStyle w:val="Bezodstpw"/>
        <w:jc w:val="both"/>
        <w:rPr>
          <w:rFonts w:asciiTheme="minorHAnsi" w:hAnsiTheme="minorHAnsi"/>
          <w:b/>
          <w:sz w:val="10"/>
        </w:rPr>
      </w:pPr>
    </w:p>
    <w:p w:rsidR="001512FC" w:rsidRPr="00BD17D6" w:rsidRDefault="001512FC" w:rsidP="001512FC">
      <w:pPr>
        <w:pStyle w:val="Bezodstpw"/>
        <w:jc w:val="both"/>
        <w:rPr>
          <w:rFonts w:asciiTheme="minorHAnsi" w:hAnsiTheme="minorHAnsi"/>
          <w:sz w:val="24"/>
        </w:rPr>
      </w:pPr>
      <w:r w:rsidRPr="00BD17D6">
        <w:rPr>
          <w:rFonts w:asciiTheme="minorHAnsi" w:hAnsiTheme="minorHAnsi"/>
          <w:sz w:val="24"/>
        </w:rPr>
        <w:t>W 2014 r. obserwujemy wyraźny spadek ilościowych wskaźników sprzedaży ciepła, w</w:t>
      </w:r>
      <w:r w:rsidR="008A41D4">
        <w:rPr>
          <w:rFonts w:asciiTheme="minorHAnsi" w:hAnsiTheme="minorHAnsi"/>
          <w:sz w:val="24"/>
        </w:rPr>
        <w:t> </w:t>
      </w:r>
      <w:r w:rsidRPr="00BD17D6">
        <w:rPr>
          <w:rFonts w:asciiTheme="minorHAnsi" w:hAnsiTheme="minorHAnsi"/>
          <w:sz w:val="24"/>
        </w:rPr>
        <w:t>stosunku do roku poprzedniego. Przychody ze sprzedaży były niższe od tych z roku 2013 o</w:t>
      </w:r>
      <w:r w:rsidR="008A41D4">
        <w:rPr>
          <w:rFonts w:asciiTheme="minorHAnsi" w:hAnsiTheme="minorHAnsi"/>
          <w:sz w:val="24"/>
        </w:rPr>
        <w:t> </w:t>
      </w:r>
      <w:r w:rsidRPr="00BD17D6">
        <w:rPr>
          <w:rFonts w:asciiTheme="minorHAnsi" w:hAnsiTheme="minorHAnsi"/>
          <w:sz w:val="24"/>
        </w:rPr>
        <w:t xml:space="preserve">6,85 %. W roku 2014 wartość sprzedaży netto wyniosła 21 638 699,83 zł, w porównaniu do 23 229 536,02 zł w 2013 roku. </w:t>
      </w:r>
    </w:p>
    <w:p w:rsidR="001512FC" w:rsidRPr="00BD17D6" w:rsidRDefault="001512FC" w:rsidP="001512FC">
      <w:pPr>
        <w:pStyle w:val="Bezodstpw"/>
        <w:jc w:val="both"/>
        <w:rPr>
          <w:rFonts w:asciiTheme="minorHAnsi" w:hAnsiTheme="minorHAnsi"/>
          <w:sz w:val="16"/>
        </w:rPr>
      </w:pPr>
    </w:p>
    <w:p w:rsidR="001512FC" w:rsidRPr="00BD17D6" w:rsidRDefault="001512FC" w:rsidP="001512FC">
      <w:pPr>
        <w:pStyle w:val="Bezodstpw"/>
        <w:jc w:val="both"/>
        <w:rPr>
          <w:rFonts w:asciiTheme="minorHAnsi" w:hAnsiTheme="minorHAnsi"/>
          <w:sz w:val="10"/>
        </w:rPr>
      </w:pPr>
    </w:p>
    <w:tbl>
      <w:tblPr>
        <w:tblW w:w="4924" w:type="pct"/>
        <w:tblInd w:w="70" w:type="dxa"/>
        <w:tblCellMar>
          <w:left w:w="70" w:type="dxa"/>
          <w:right w:w="70" w:type="dxa"/>
        </w:tblCellMar>
        <w:tblLook w:val="04A0" w:firstRow="1" w:lastRow="0" w:firstColumn="1" w:lastColumn="0" w:noHBand="0" w:noVBand="1"/>
      </w:tblPr>
      <w:tblGrid>
        <w:gridCol w:w="3626"/>
        <w:gridCol w:w="1377"/>
        <w:gridCol w:w="1377"/>
        <w:gridCol w:w="1377"/>
        <w:gridCol w:w="1315"/>
      </w:tblGrid>
      <w:tr w:rsidR="001512FC" w:rsidRPr="00BD17D6" w:rsidTr="002437D3">
        <w:trPr>
          <w:trHeight w:val="487"/>
        </w:trPr>
        <w:tc>
          <w:tcPr>
            <w:tcW w:w="1998" w:type="pct"/>
            <w:tcBorders>
              <w:top w:val="single" w:sz="4" w:space="0" w:color="auto"/>
              <w:left w:val="single" w:sz="4" w:space="0" w:color="auto"/>
              <w:bottom w:val="single" w:sz="4" w:space="0" w:color="auto"/>
              <w:right w:val="single" w:sz="4" w:space="0" w:color="auto"/>
            </w:tcBorders>
            <w:noWrap/>
            <w:vAlign w:val="center"/>
            <w:hideMark/>
          </w:tcPr>
          <w:p w:rsidR="001512FC" w:rsidRPr="00BD17D6" w:rsidRDefault="001512FC" w:rsidP="001512FC">
            <w:pPr>
              <w:spacing w:after="0" w:line="240" w:lineRule="auto"/>
              <w:jc w:val="center"/>
              <w:rPr>
                <w:rFonts w:asciiTheme="minorHAnsi" w:eastAsia="Times New Roman" w:hAnsiTheme="minorHAnsi"/>
                <w:b/>
                <w:bCs/>
                <w:color w:val="000000"/>
                <w:sz w:val="24"/>
                <w:szCs w:val="24"/>
                <w:lang w:eastAsia="pl-PL"/>
              </w:rPr>
            </w:pPr>
            <w:r w:rsidRPr="00BD17D6">
              <w:rPr>
                <w:rFonts w:asciiTheme="minorHAnsi" w:eastAsia="Times New Roman" w:hAnsiTheme="minorHAnsi"/>
                <w:b/>
                <w:bCs/>
                <w:color w:val="000000"/>
                <w:sz w:val="24"/>
                <w:szCs w:val="24"/>
                <w:lang w:eastAsia="pl-PL"/>
              </w:rPr>
              <w:t>Wyszczególnienie</w:t>
            </w:r>
          </w:p>
        </w:tc>
        <w:tc>
          <w:tcPr>
            <w:tcW w:w="759" w:type="pct"/>
            <w:tcBorders>
              <w:top w:val="single" w:sz="4" w:space="0" w:color="auto"/>
              <w:left w:val="nil"/>
              <w:bottom w:val="single" w:sz="4" w:space="0" w:color="auto"/>
              <w:right w:val="single" w:sz="4" w:space="0" w:color="auto"/>
            </w:tcBorders>
            <w:noWrap/>
            <w:vAlign w:val="center"/>
            <w:hideMark/>
          </w:tcPr>
          <w:p w:rsidR="001512FC" w:rsidRPr="00BD17D6" w:rsidRDefault="001512FC" w:rsidP="002437D3">
            <w:pPr>
              <w:spacing w:after="0" w:line="240" w:lineRule="auto"/>
              <w:jc w:val="center"/>
              <w:rPr>
                <w:rFonts w:asciiTheme="minorHAnsi" w:eastAsia="Times New Roman" w:hAnsiTheme="minorHAnsi"/>
                <w:b/>
                <w:bCs/>
                <w:color w:val="000000"/>
                <w:sz w:val="24"/>
                <w:szCs w:val="24"/>
                <w:lang w:eastAsia="pl-PL"/>
              </w:rPr>
            </w:pPr>
            <w:r w:rsidRPr="00BD17D6">
              <w:rPr>
                <w:rFonts w:asciiTheme="minorHAnsi" w:eastAsia="Times New Roman" w:hAnsiTheme="minorHAnsi"/>
                <w:b/>
                <w:bCs/>
                <w:color w:val="000000"/>
                <w:sz w:val="24"/>
                <w:szCs w:val="24"/>
                <w:lang w:eastAsia="pl-PL"/>
              </w:rPr>
              <w:t>2012</w:t>
            </w:r>
          </w:p>
        </w:tc>
        <w:tc>
          <w:tcPr>
            <w:tcW w:w="759" w:type="pct"/>
            <w:tcBorders>
              <w:top w:val="single" w:sz="4" w:space="0" w:color="auto"/>
              <w:left w:val="nil"/>
              <w:bottom w:val="single" w:sz="4" w:space="0" w:color="auto"/>
              <w:right w:val="single" w:sz="4" w:space="0" w:color="auto"/>
            </w:tcBorders>
            <w:noWrap/>
            <w:vAlign w:val="center"/>
            <w:hideMark/>
          </w:tcPr>
          <w:p w:rsidR="001512FC" w:rsidRPr="00BD17D6" w:rsidRDefault="001512FC" w:rsidP="002437D3">
            <w:pPr>
              <w:spacing w:after="0" w:line="240" w:lineRule="auto"/>
              <w:jc w:val="center"/>
              <w:rPr>
                <w:rFonts w:asciiTheme="minorHAnsi" w:eastAsia="Times New Roman" w:hAnsiTheme="minorHAnsi"/>
                <w:b/>
                <w:bCs/>
                <w:color w:val="000000"/>
                <w:sz w:val="24"/>
                <w:szCs w:val="24"/>
                <w:lang w:eastAsia="pl-PL"/>
              </w:rPr>
            </w:pPr>
            <w:r w:rsidRPr="00BD17D6">
              <w:rPr>
                <w:rFonts w:asciiTheme="minorHAnsi" w:eastAsia="Times New Roman" w:hAnsiTheme="minorHAnsi"/>
                <w:b/>
                <w:bCs/>
                <w:color w:val="000000"/>
                <w:sz w:val="24"/>
                <w:szCs w:val="24"/>
                <w:lang w:eastAsia="pl-PL"/>
              </w:rPr>
              <w:t>2013</w:t>
            </w:r>
          </w:p>
        </w:tc>
        <w:tc>
          <w:tcPr>
            <w:tcW w:w="759" w:type="pct"/>
            <w:tcBorders>
              <w:top w:val="single" w:sz="4" w:space="0" w:color="auto"/>
              <w:left w:val="nil"/>
              <w:bottom w:val="single" w:sz="4" w:space="0" w:color="auto"/>
              <w:right w:val="single" w:sz="4" w:space="0" w:color="auto"/>
            </w:tcBorders>
            <w:vAlign w:val="center"/>
          </w:tcPr>
          <w:p w:rsidR="001512FC" w:rsidRPr="00BD17D6" w:rsidRDefault="001512FC" w:rsidP="002437D3">
            <w:pPr>
              <w:spacing w:after="0" w:line="240" w:lineRule="auto"/>
              <w:jc w:val="center"/>
              <w:rPr>
                <w:rFonts w:asciiTheme="minorHAnsi" w:eastAsia="Times New Roman" w:hAnsiTheme="minorHAnsi"/>
                <w:b/>
                <w:bCs/>
                <w:color w:val="000000"/>
                <w:sz w:val="24"/>
                <w:szCs w:val="24"/>
                <w:lang w:eastAsia="pl-PL"/>
              </w:rPr>
            </w:pPr>
            <w:r w:rsidRPr="00BD17D6">
              <w:rPr>
                <w:rFonts w:asciiTheme="minorHAnsi" w:eastAsia="Times New Roman" w:hAnsiTheme="minorHAnsi"/>
                <w:b/>
                <w:bCs/>
                <w:color w:val="000000"/>
                <w:sz w:val="24"/>
                <w:szCs w:val="24"/>
                <w:lang w:eastAsia="pl-PL"/>
              </w:rPr>
              <w:t>2014</w:t>
            </w:r>
          </w:p>
        </w:tc>
        <w:tc>
          <w:tcPr>
            <w:tcW w:w="725" w:type="pct"/>
            <w:tcBorders>
              <w:top w:val="single" w:sz="4" w:space="0" w:color="auto"/>
              <w:left w:val="nil"/>
              <w:bottom w:val="single" w:sz="4" w:space="0" w:color="auto"/>
              <w:right w:val="single" w:sz="4" w:space="0" w:color="auto"/>
            </w:tcBorders>
            <w:vAlign w:val="center"/>
          </w:tcPr>
          <w:p w:rsidR="001512FC" w:rsidRPr="00BD17D6" w:rsidRDefault="001512FC" w:rsidP="002437D3">
            <w:pPr>
              <w:spacing w:after="0" w:line="240" w:lineRule="auto"/>
              <w:jc w:val="center"/>
              <w:rPr>
                <w:rFonts w:asciiTheme="minorHAnsi" w:eastAsia="Times New Roman" w:hAnsiTheme="minorHAnsi"/>
                <w:b/>
                <w:bCs/>
                <w:color w:val="000000"/>
                <w:sz w:val="24"/>
                <w:szCs w:val="24"/>
                <w:lang w:eastAsia="pl-PL"/>
              </w:rPr>
            </w:pPr>
            <w:r w:rsidRPr="00BD17D6">
              <w:rPr>
                <w:rFonts w:asciiTheme="minorHAnsi" w:eastAsia="Times New Roman" w:hAnsiTheme="minorHAnsi"/>
                <w:b/>
                <w:bCs/>
                <w:color w:val="000000"/>
                <w:sz w:val="24"/>
                <w:szCs w:val="24"/>
                <w:lang w:eastAsia="pl-PL"/>
              </w:rPr>
              <w:t>2014/2013</w:t>
            </w:r>
          </w:p>
        </w:tc>
      </w:tr>
      <w:tr w:rsidR="001512FC" w:rsidRPr="00BD17D6" w:rsidTr="0021345C">
        <w:trPr>
          <w:trHeight w:val="413"/>
        </w:trPr>
        <w:tc>
          <w:tcPr>
            <w:tcW w:w="1998" w:type="pct"/>
            <w:tcBorders>
              <w:top w:val="nil"/>
              <w:left w:val="single" w:sz="4" w:space="0" w:color="auto"/>
              <w:bottom w:val="single" w:sz="4" w:space="0" w:color="auto"/>
              <w:right w:val="single" w:sz="4" w:space="0" w:color="auto"/>
            </w:tcBorders>
            <w:vAlign w:val="center"/>
            <w:hideMark/>
          </w:tcPr>
          <w:p w:rsidR="001512FC" w:rsidRPr="00BD17D6" w:rsidRDefault="001512FC" w:rsidP="001512FC">
            <w:pPr>
              <w:spacing w:after="0" w:line="240" w:lineRule="auto"/>
              <w:rPr>
                <w:rFonts w:asciiTheme="minorHAnsi" w:eastAsia="Times New Roman" w:hAnsiTheme="minorHAnsi"/>
                <w:color w:val="000000"/>
                <w:sz w:val="24"/>
                <w:szCs w:val="24"/>
                <w:lang w:eastAsia="pl-PL"/>
              </w:rPr>
            </w:pPr>
            <w:r w:rsidRPr="00BD17D6">
              <w:rPr>
                <w:rFonts w:asciiTheme="minorHAnsi" w:eastAsia="Times New Roman" w:hAnsiTheme="minorHAnsi"/>
                <w:color w:val="000000"/>
                <w:sz w:val="24"/>
                <w:szCs w:val="24"/>
                <w:lang w:eastAsia="pl-PL"/>
              </w:rPr>
              <w:t>Produkcja energii cieplnej (GJ)</w:t>
            </w:r>
          </w:p>
        </w:tc>
        <w:tc>
          <w:tcPr>
            <w:tcW w:w="759" w:type="pct"/>
            <w:tcBorders>
              <w:top w:val="nil"/>
              <w:left w:val="nil"/>
              <w:bottom w:val="single" w:sz="4" w:space="0" w:color="auto"/>
              <w:right w:val="single" w:sz="4" w:space="0" w:color="auto"/>
            </w:tcBorders>
            <w:noWrap/>
            <w:vAlign w:val="center"/>
            <w:hideMark/>
          </w:tcPr>
          <w:p w:rsidR="001512FC" w:rsidRPr="00BD17D6" w:rsidRDefault="001512FC" w:rsidP="0021345C">
            <w:pPr>
              <w:spacing w:after="0" w:line="240" w:lineRule="auto"/>
              <w:jc w:val="right"/>
              <w:rPr>
                <w:rFonts w:asciiTheme="minorHAnsi" w:eastAsia="Times New Roman" w:hAnsiTheme="minorHAnsi"/>
                <w:color w:val="000000"/>
                <w:sz w:val="24"/>
                <w:szCs w:val="24"/>
                <w:lang w:eastAsia="pl-PL"/>
              </w:rPr>
            </w:pPr>
            <w:r w:rsidRPr="00BD17D6">
              <w:rPr>
                <w:rFonts w:asciiTheme="minorHAnsi" w:eastAsia="Times New Roman" w:hAnsiTheme="minorHAnsi"/>
                <w:color w:val="000000"/>
                <w:sz w:val="24"/>
                <w:szCs w:val="24"/>
                <w:lang w:eastAsia="pl-PL"/>
              </w:rPr>
              <w:t>513 345,00</w:t>
            </w:r>
          </w:p>
        </w:tc>
        <w:tc>
          <w:tcPr>
            <w:tcW w:w="759" w:type="pct"/>
            <w:tcBorders>
              <w:top w:val="nil"/>
              <w:left w:val="nil"/>
              <w:bottom w:val="single" w:sz="4" w:space="0" w:color="auto"/>
              <w:right w:val="single" w:sz="4" w:space="0" w:color="auto"/>
            </w:tcBorders>
            <w:noWrap/>
            <w:vAlign w:val="center"/>
            <w:hideMark/>
          </w:tcPr>
          <w:p w:rsidR="001512FC" w:rsidRPr="00BD17D6" w:rsidRDefault="001512FC" w:rsidP="0021345C">
            <w:pPr>
              <w:spacing w:after="0" w:line="240" w:lineRule="auto"/>
              <w:jc w:val="right"/>
              <w:rPr>
                <w:rFonts w:asciiTheme="minorHAnsi" w:eastAsia="Times New Roman" w:hAnsiTheme="minorHAnsi"/>
                <w:color w:val="000000"/>
                <w:sz w:val="24"/>
                <w:szCs w:val="24"/>
                <w:lang w:eastAsia="pl-PL"/>
              </w:rPr>
            </w:pPr>
            <w:r w:rsidRPr="00BD17D6">
              <w:rPr>
                <w:rFonts w:asciiTheme="minorHAnsi" w:eastAsia="Times New Roman" w:hAnsiTheme="minorHAnsi"/>
                <w:color w:val="000000"/>
                <w:sz w:val="24"/>
                <w:szCs w:val="24"/>
                <w:lang w:eastAsia="pl-PL"/>
              </w:rPr>
              <w:t>516 385,00</w:t>
            </w:r>
          </w:p>
        </w:tc>
        <w:tc>
          <w:tcPr>
            <w:tcW w:w="759" w:type="pct"/>
            <w:tcBorders>
              <w:top w:val="nil"/>
              <w:left w:val="nil"/>
              <w:bottom w:val="single" w:sz="4" w:space="0" w:color="auto"/>
              <w:right w:val="single" w:sz="4" w:space="0" w:color="auto"/>
            </w:tcBorders>
            <w:vAlign w:val="center"/>
          </w:tcPr>
          <w:p w:rsidR="001512FC" w:rsidRPr="00BD17D6" w:rsidRDefault="001512FC" w:rsidP="0021345C">
            <w:pPr>
              <w:spacing w:after="0" w:line="240" w:lineRule="auto"/>
              <w:jc w:val="right"/>
              <w:rPr>
                <w:rFonts w:asciiTheme="minorHAnsi" w:eastAsia="Times New Roman" w:hAnsiTheme="minorHAnsi"/>
                <w:color w:val="000000"/>
                <w:sz w:val="24"/>
                <w:szCs w:val="24"/>
                <w:lang w:eastAsia="pl-PL"/>
              </w:rPr>
            </w:pPr>
            <w:r w:rsidRPr="00BD17D6">
              <w:rPr>
                <w:rFonts w:asciiTheme="minorHAnsi" w:eastAsia="Times New Roman" w:hAnsiTheme="minorHAnsi"/>
                <w:color w:val="000000"/>
                <w:sz w:val="24"/>
                <w:szCs w:val="24"/>
                <w:lang w:eastAsia="pl-PL"/>
              </w:rPr>
              <w:t>454 807,00</w:t>
            </w:r>
          </w:p>
        </w:tc>
        <w:tc>
          <w:tcPr>
            <w:tcW w:w="725" w:type="pct"/>
            <w:tcBorders>
              <w:top w:val="nil"/>
              <w:left w:val="nil"/>
              <w:bottom w:val="single" w:sz="4" w:space="0" w:color="auto"/>
              <w:right w:val="single" w:sz="4" w:space="0" w:color="auto"/>
            </w:tcBorders>
            <w:vAlign w:val="center"/>
          </w:tcPr>
          <w:p w:rsidR="001512FC" w:rsidRPr="00BD17D6" w:rsidRDefault="001512FC" w:rsidP="0021345C">
            <w:pPr>
              <w:spacing w:after="0" w:line="240" w:lineRule="auto"/>
              <w:jc w:val="right"/>
              <w:rPr>
                <w:rFonts w:asciiTheme="minorHAnsi" w:eastAsia="Times New Roman" w:hAnsiTheme="minorHAnsi"/>
                <w:color w:val="000000"/>
                <w:sz w:val="24"/>
                <w:szCs w:val="24"/>
                <w:lang w:eastAsia="pl-PL"/>
              </w:rPr>
            </w:pPr>
            <w:r w:rsidRPr="00BD17D6">
              <w:rPr>
                <w:rFonts w:asciiTheme="minorHAnsi" w:eastAsia="Times New Roman" w:hAnsiTheme="minorHAnsi"/>
                <w:color w:val="000000"/>
                <w:sz w:val="24"/>
                <w:szCs w:val="24"/>
                <w:lang w:eastAsia="pl-PL"/>
              </w:rPr>
              <w:t>88,08</w:t>
            </w:r>
          </w:p>
        </w:tc>
      </w:tr>
      <w:tr w:rsidR="001512FC" w:rsidRPr="00BD17D6" w:rsidTr="0021345C">
        <w:trPr>
          <w:trHeight w:val="413"/>
        </w:trPr>
        <w:tc>
          <w:tcPr>
            <w:tcW w:w="1998" w:type="pct"/>
            <w:tcBorders>
              <w:top w:val="nil"/>
              <w:left w:val="single" w:sz="4" w:space="0" w:color="auto"/>
              <w:bottom w:val="single" w:sz="4" w:space="0" w:color="auto"/>
              <w:right w:val="single" w:sz="4" w:space="0" w:color="auto"/>
            </w:tcBorders>
            <w:vAlign w:val="center"/>
            <w:hideMark/>
          </w:tcPr>
          <w:p w:rsidR="001512FC" w:rsidRPr="00BD17D6" w:rsidRDefault="001512FC" w:rsidP="001512FC">
            <w:pPr>
              <w:spacing w:after="0" w:line="240" w:lineRule="auto"/>
              <w:rPr>
                <w:rFonts w:asciiTheme="minorHAnsi" w:eastAsia="Times New Roman" w:hAnsiTheme="minorHAnsi"/>
                <w:color w:val="000000"/>
                <w:sz w:val="24"/>
                <w:szCs w:val="24"/>
                <w:lang w:eastAsia="pl-PL"/>
              </w:rPr>
            </w:pPr>
            <w:r w:rsidRPr="00BD17D6">
              <w:rPr>
                <w:rFonts w:asciiTheme="minorHAnsi" w:eastAsia="Times New Roman" w:hAnsiTheme="minorHAnsi"/>
                <w:color w:val="000000"/>
                <w:sz w:val="24"/>
                <w:szCs w:val="24"/>
                <w:lang w:eastAsia="pl-PL"/>
              </w:rPr>
              <w:t>Sprzedaż energii cieplnej (GJ)</w:t>
            </w:r>
          </w:p>
        </w:tc>
        <w:tc>
          <w:tcPr>
            <w:tcW w:w="759" w:type="pct"/>
            <w:tcBorders>
              <w:top w:val="nil"/>
              <w:left w:val="nil"/>
              <w:bottom w:val="single" w:sz="4" w:space="0" w:color="auto"/>
              <w:right w:val="single" w:sz="4" w:space="0" w:color="auto"/>
            </w:tcBorders>
            <w:noWrap/>
            <w:vAlign w:val="center"/>
            <w:hideMark/>
          </w:tcPr>
          <w:p w:rsidR="001512FC" w:rsidRPr="00BD17D6" w:rsidRDefault="001512FC" w:rsidP="0021345C">
            <w:pPr>
              <w:spacing w:after="0" w:line="240" w:lineRule="auto"/>
              <w:jc w:val="right"/>
              <w:rPr>
                <w:rFonts w:asciiTheme="minorHAnsi" w:eastAsia="Times New Roman" w:hAnsiTheme="minorHAnsi"/>
                <w:color w:val="000000"/>
                <w:sz w:val="24"/>
                <w:szCs w:val="24"/>
                <w:lang w:eastAsia="pl-PL"/>
              </w:rPr>
            </w:pPr>
            <w:r w:rsidRPr="00BD17D6">
              <w:rPr>
                <w:rFonts w:asciiTheme="minorHAnsi" w:eastAsia="Times New Roman" w:hAnsiTheme="minorHAnsi"/>
                <w:color w:val="000000"/>
                <w:sz w:val="24"/>
                <w:szCs w:val="24"/>
                <w:lang w:eastAsia="pl-PL"/>
              </w:rPr>
              <w:t>464 287,00</w:t>
            </w:r>
          </w:p>
        </w:tc>
        <w:tc>
          <w:tcPr>
            <w:tcW w:w="759" w:type="pct"/>
            <w:tcBorders>
              <w:top w:val="nil"/>
              <w:left w:val="nil"/>
              <w:bottom w:val="single" w:sz="4" w:space="0" w:color="auto"/>
              <w:right w:val="single" w:sz="4" w:space="0" w:color="auto"/>
            </w:tcBorders>
            <w:noWrap/>
            <w:vAlign w:val="center"/>
            <w:hideMark/>
          </w:tcPr>
          <w:p w:rsidR="001512FC" w:rsidRPr="00BD17D6" w:rsidRDefault="001512FC" w:rsidP="0021345C">
            <w:pPr>
              <w:spacing w:after="0" w:line="240" w:lineRule="auto"/>
              <w:jc w:val="right"/>
              <w:rPr>
                <w:rFonts w:asciiTheme="minorHAnsi" w:eastAsia="Times New Roman" w:hAnsiTheme="minorHAnsi"/>
                <w:color w:val="000000"/>
                <w:sz w:val="24"/>
                <w:szCs w:val="24"/>
                <w:lang w:eastAsia="pl-PL"/>
              </w:rPr>
            </w:pPr>
            <w:r w:rsidRPr="00BD17D6">
              <w:rPr>
                <w:rFonts w:asciiTheme="minorHAnsi" w:eastAsia="Times New Roman" w:hAnsiTheme="minorHAnsi"/>
                <w:color w:val="000000"/>
                <w:sz w:val="24"/>
                <w:szCs w:val="24"/>
                <w:lang w:eastAsia="pl-PL"/>
              </w:rPr>
              <w:t>467 411,00</w:t>
            </w:r>
          </w:p>
        </w:tc>
        <w:tc>
          <w:tcPr>
            <w:tcW w:w="759" w:type="pct"/>
            <w:tcBorders>
              <w:top w:val="nil"/>
              <w:left w:val="nil"/>
              <w:bottom w:val="single" w:sz="4" w:space="0" w:color="auto"/>
              <w:right w:val="single" w:sz="4" w:space="0" w:color="auto"/>
            </w:tcBorders>
            <w:vAlign w:val="center"/>
          </w:tcPr>
          <w:p w:rsidR="001512FC" w:rsidRPr="00BD17D6" w:rsidRDefault="001512FC" w:rsidP="0021345C">
            <w:pPr>
              <w:spacing w:after="0" w:line="240" w:lineRule="auto"/>
              <w:jc w:val="right"/>
              <w:rPr>
                <w:rFonts w:asciiTheme="minorHAnsi" w:eastAsia="Times New Roman" w:hAnsiTheme="minorHAnsi"/>
                <w:color w:val="000000"/>
                <w:sz w:val="24"/>
                <w:szCs w:val="24"/>
                <w:lang w:eastAsia="pl-PL"/>
              </w:rPr>
            </w:pPr>
            <w:r w:rsidRPr="00BD17D6">
              <w:rPr>
                <w:rFonts w:asciiTheme="minorHAnsi" w:eastAsia="Times New Roman" w:hAnsiTheme="minorHAnsi"/>
                <w:color w:val="000000"/>
                <w:sz w:val="24"/>
                <w:szCs w:val="24"/>
                <w:lang w:eastAsia="pl-PL"/>
              </w:rPr>
              <w:t>405 622,00</w:t>
            </w:r>
          </w:p>
        </w:tc>
        <w:tc>
          <w:tcPr>
            <w:tcW w:w="725" w:type="pct"/>
            <w:tcBorders>
              <w:top w:val="nil"/>
              <w:left w:val="nil"/>
              <w:bottom w:val="single" w:sz="4" w:space="0" w:color="auto"/>
              <w:right w:val="single" w:sz="4" w:space="0" w:color="auto"/>
            </w:tcBorders>
            <w:vAlign w:val="center"/>
          </w:tcPr>
          <w:p w:rsidR="001512FC" w:rsidRPr="00BD17D6" w:rsidRDefault="001512FC" w:rsidP="0021345C">
            <w:pPr>
              <w:spacing w:after="0" w:line="240" w:lineRule="auto"/>
              <w:jc w:val="right"/>
              <w:rPr>
                <w:rFonts w:asciiTheme="minorHAnsi" w:eastAsia="Times New Roman" w:hAnsiTheme="minorHAnsi"/>
                <w:color w:val="000000"/>
                <w:sz w:val="24"/>
                <w:szCs w:val="24"/>
                <w:lang w:eastAsia="pl-PL"/>
              </w:rPr>
            </w:pPr>
            <w:r w:rsidRPr="00BD17D6">
              <w:rPr>
                <w:rFonts w:asciiTheme="minorHAnsi" w:eastAsia="Times New Roman" w:hAnsiTheme="minorHAnsi"/>
                <w:color w:val="000000"/>
                <w:sz w:val="24"/>
                <w:szCs w:val="24"/>
                <w:lang w:eastAsia="pl-PL"/>
              </w:rPr>
              <w:t>86,78</w:t>
            </w:r>
          </w:p>
        </w:tc>
      </w:tr>
      <w:tr w:rsidR="001512FC" w:rsidRPr="00BD17D6" w:rsidTr="0021345C">
        <w:trPr>
          <w:trHeight w:val="717"/>
        </w:trPr>
        <w:tc>
          <w:tcPr>
            <w:tcW w:w="1998" w:type="pct"/>
            <w:tcBorders>
              <w:top w:val="nil"/>
              <w:left w:val="single" w:sz="4" w:space="0" w:color="auto"/>
              <w:bottom w:val="single" w:sz="4" w:space="0" w:color="auto"/>
              <w:right w:val="single" w:sz="4" w:space="0" w:color="auto"/>
            </w:tcBorders>
            <w:vAlign w:val="center"/>
            <w:hideMark/>
          </w:tcPr>
          <w:p w:rsidR="001512FC" w:rsidRPr="00BD17D6" w:rsidRDefault="001512FC" w:rsidP="001512FC">
            <w:pPr>
              <w:spacing w:after="0" w:line="240" w:lineRule="auto"/>
              <w:rPr>
                <w:rFonts w:asciiTheme="minorHAnsi" w:eastAsia="Times New Roman" w:hAnsiTheme="minorHAnsi"/>
                <w:color w:val="000000"/>
                <w:sz w:val="24"/>
                <w:szCs w:val="24"/>
                <w:lang w:eastAsia="pl-PL"/>
              </w:rPr>
            </w:pPr>
            <w:r w:rsidRPr="00BD17D6">
              <w:rPr>
                <w:rFonts w:asciiTheme="minorHAnsi" w:eastAsia="Times New Roman" w:hAnsiTheme="minorHAnsi"/>
                <w:color w:val="000000"/>
                <w:sz w:val="24"/>
                <w:szCs w:val="24"/>
                <w:lang w:eastAsia="pl-PL"/>
              </w:rPr>
              <w:t>Średnia moc zamówiona przez odbiorców (MW)</w:t>
            </w:r>
          </w:p>
        </w:tc>
        <w:tc>
          <w:tcPr>
            <w:tcW w:w="759" w:type="pct"/>
            <w:tcBorders>
              <w:top w:val="nil"/>
              <w:left w:val="nil"/>
              <w:bottom w:val="single" w:sz="4" w:space="0" w:color="auto"/>
              <w:right w:val="single" w:sz="4" w:space="0" w:color="auto"/>
            </w:tcBorders>
            <w:noWrap/>
            <w:vAlign w:val="center"/>
            <w:hideMark/>
          </w:tcPr>
          <w:p w:rsidR="001512FC" w:rsidRPr="00BD17D6" w:rsidRDefault="001512FC" w:rsidP="0021345C">
            <w:pPr>
              <w:spacing w:after="0" w:line="240" w:lineRule="auto"/>
              <w:jc w:val="right"/>
              <w:rPr>
                <w:rFonts w:asciiTheme="minorHAnsi" w:eastAsia="Times New Roman" w:hAnsiTheme="minorHAnsi"/>
                <w:color w:val="000000"/>
                <w:sz w:val="24"/>
                <w:szCs w:val="24"/>
                <w:lang w:eastAsia="pl-PL"/>
              </w:rPr>
            </w:pPr>
            <w:r w:rsidRPr="00BD17D6">
              <w:rPr>
                <w:rFonts w:asciiTheme="minorHAnsi" w:eastAsia="Times New Roman" w:hAnsiTheme="minorHAnsi"/>
                <w:color w:val="000000"/>
                <w:sz w:val="24"/>
                <w:szCs w:val="24"/>
                <w:lang w:eastAsia="pl-PL"/>
              </w:rPr>
              <w:t>65,95</w:t>
            </w:r>
          </w:p>
        </w:tc>
        <w:tc>
          <w:tcPr>
            <w:tcW w:w="759" w:type="pct"/>
            <w:tcBorders>
              <w:top w:val="nil"/>
              <w:left w:val="nil"/>
              <w:bottom w:val="single" w:sz="4" w:space="0" w:color="auto"/>
              <w:right w:val="single" w:sz="4" w:space="0" w:color="auto"/>
            </w:tcBorders>
            <w:noWrap/>
            <w:vAlign w:val="center"/>
            <w:hideMark/>
          </w:tcPr>
          <w:p w:rsidR="001512FC" w:rsidRPr="00BD17D6" w:rsidRDefault="001512FC" w:rsidP="0021345C">
            <w:pPr>
              <w:spacing w:after="0" w:line="240" w:lineRule="auto"/>
              <w:jc w:val="right"/>
              <w:rPr>
                <w:rFonts w:asciiTheme="minorHAnsi" w:eastAsia="Times New Roman" w:hAnsiTheme="minorHAnsi"/>
                <w:color w:val="000000"/>
                <w:sz w:val="24"/>
                <w:szCs w:val="24"/>
                <w:lang w:eastAsia="pl-PL"/>
              </w:rPr>
            </w:pPr>
            <w:r w:rsidRPr="00BD17D6">
              <w:rPr>
                <w:rFonts w:asciiTheme="minorHAnsi" w:eastAsia="Times New Roman" w:hAnsiTheme="minorHAnsi"/>
                <w:color w:val="000000"/>
                <w:sz w:val="24"/>
                <w:szCs w:val="24"/>
                <w:lang w:eastAsia="pl-PL"/>
              </w:rPr>
              <w:t>66,49</w:t>
            </w:r>
          </w:p>
        </w:tc>
        <w:tc>
          <w:tcPr>
            <w:tcW w:w="759" w:type="pct"/>
            <w:tcBorders>
              <w:top w:val="nil"/>
              <w:left w:val="nil"/>
              <w:bottom w:val="single" w:sz="4" w:space="0" w:color="auto"/>
              <w:right w:val="single" w:sz="4" w:space="0" w:color="auto"/>
            </w:tcBorders>
            <w:vAlign w:val="center"/>
          </w:tcPr>
          <w:p w:rsidR="001512FC" w:rsidRPr="00BD17D6" w:rsidRDefault="001512FC" w:rsidP="0021345C">
            <w:pPr>
              <w:spacing w:after="0" w:line="240" w:lineRule="auto"/>
              <w:jc w:val="right"/>
              <w:rPr>
                <w:rFonts w:asciiTheme="minorHAnsi" w:eastAsia="Times New Roman" w:hAnsiTheme="minorHAnsi"/>
                <w:color w:val="000000"/>
                <w:sz w:val="24"/>
                <w:szCs w:val="24"/>
                <w:lang w:eastAsia="pl-PL"/>
              </w:rPr>
            </w:pPr>
            <w:r w:rsidRPr="00BD17D6">
              <w:rPr>
                <w:rFonts w:asciiTheme="minorHAnsi" w:eastAsia="Times New Roman" w:hAnsiTheme="minorHAnsi"/>
                <w:color w:val="000000"/>
                <w:sz w:val="24"/>
                <w:szCs w:val="24"/>
                <w:lang w:eastAsia="pl-PL"/>
              </w:rPr>
              <w:t>65,83</w:t>
            </w:r>
          </w:p>
        </w:tc>
        <w:tc>
          <w:tcPr>
            <w:tcW w:w="725" w:type="pct"/>
            <w:tcBorders>
              <w:top w:val="nil"/>
              <w:left w:val="nil"/>
              <w:bottom w:val="single" w:sz="4" w:space="0" w:color="auto"/>
              <w:right w:val="single" w:sz="4" w:space="0" w:color="auto"/>
            </w:tcBorders>
            <w:vAlign w:val="center"/>
          </w:tcPr>
          <w:p w:rsidR="001512FC" w:rsidRPr="00BD17D6" w:rsidRDefault="001512FC" w:rsidP="0021345C">
            <w:pPr>
              <w:spacing w:after="0" w:line="240" w:lineRule="auto"/>
              <w:jc w:val="right"/>
              <w:rPr>
                <w:rFonts w:asciiTheme="minorHAnsi" w:eastAsia="Times New Roman" w:hAnsiTheme="minorHAnsi"/>
                <w:color w:val="000000"/>
                <w:sz w:val="24"/>
                <w:szCs w:val="24"/>
                <w:lang w:eastAsia="pl-PL"/>
              </w:rPr>
            </w:pPr>
            <w:r w:rsidRPr="00BD17D6">
              <w:rPr>
                <w:rFonts w:asciiTheme="minorHAnsi" w:eastAsia="Times New Roman" w:hAnsiTheme="minorHAnsi"/>
                <w:color w:val="000000"/>
                <w:sz w:val="24"/>
                <w:szCs w:val="24"/>
                <w:lang w:eastAsia="pl-PL"/>
              </w:rPr>
              <w:t>99,01</w:t>
            </w:r>
          </w:p>
        </w:tc>
      </w:tr>
    </w:tbl>
    <w:p w:rsidR="001512FC" w:rsidRPr="00BD17D6" w:rsidRDefault="001512FC" w:rsidP="001512FC">
      <w:pPr>
        <w:pStyle w:val="Bezodstpw"/>
        <w:jc w:val="both"/>
        <w:rPr>
          <w:rFonts w:asciiTheme="minorHAnsi" w:hAnsiTheme="minorHAnsi"/>
          <w:sz w:val="10"/>
        </w:rPr>
      </w:pPr>
    </w:p>
    <w:p w:rsidR="001512FC" w:rsidRPr="00BD17D6" w:rsidRDefault="001512FC" w:rsidP="001512FC">
      <w:pPr>
        <w:pStyle w:val="Bezodstpw"/>
        <w:jc w:val="both"/>
        <w:rPr>
          <w:rFonts w:asciiTheme="minorHAnsi" w:hAnsiTheme="minorHAnsi"/>
          <w:sz w:val="24"/>
        </w:rPr>
      </w:pPr>
      <w:r w:rsidRPr="00BD17D6">
        <w:rPr>
          <w:rFonts w:asciiTheme="minorHAnsi" w:hAnsiTheme="minorHAnsi"/>
          <w:sz w:val="24"/>
        </w:rPr>
        <w:t xml:space="preserve">Spółka w dalszym ciągu koncentruje swoje działania na utrzymaniu możliwie najniższych kosztów wytwarzania i przesyłu energii cieplnej, dzięki czemu możliwe będzie utrzymanie dotychczasowych klientów oraz pozyskiwanie nowych. </w:t>
      </w:r>
    </w:p>
    <w:p w:rsidR="001512FC" w:rsidRPr="00BD17D6" w:rsidRDefault="001512FC" w:rsidP="001512FC">
      <w:pPr>
        <w:pStyle w:val="Bezodstpw"/>
        <w:jc w:val="both"/>
        <w:rPr>
          <w:rFonts w:asciiTheme="minorHAnsi" w:hAnsiTheme="minorHAnsi"/>
          <w:sz w:val="10"/>
        </w:rPr>
      </w:pPr>
    </w:p>
    <w:p w:rsidR="001512FC" w:rsidRDefault="001512FC" w:rsidP="001512FC">
      <w:pPr>
        <w:pStyle w:val="Bezodstpw"/>
        <w:jc w:val="both"/>
        <w:rPr>
          <w:rFonts w:asciiTheme="minorHAnsi" w:hAnsiTheme="minorHAnsi"/>
          <w:b/>
          <w:sz w:val="24"/>
        </w:rPr>
      </w:pPr>
      <w:r w:rsidRPr="00BD17D6">
        <w:rPr>
          <w:rFonts w:asciiTheme="minorHAnsi" w:hAnsiTheme="minorHAnsi"/>
          <w:b/>
          <w:sz w:val="24"/>
        </w:rPr>
        <w:t>Inwestycje i remonty</w:t>
      </w:r>
    </w:p>
    <w:p w:rsidR="00B00B38" w:rsidRPr="00B00B38" w:rsidRDefault="00B00B38" w:rsidP="001512FC">
      <w:pPr>
        <w:pStyle w:val="Bezodstpw"/>
        <w:jc w:val="both"/>
        <w:rPr>
          <w:rFonts w:asciiTheme="minorHAnsi" w:hAnsiTheme="minorHAnsi"/>
          <w:b/>
          <w:sz w:val="10"/>
        </w:rPr>
      </w:pPr>
    </w:p>
    <w:p w:rsidR="001512FC" w:rsidRPr="00BD17D6" w:rsidRDefault="001512FC" w:rsidP="001512FC">
      <w:pPr>
        <w:pStyle w:val="Bezodstpw"/>
        <w:jc w:val="both"/>
        <w:rPr>
          <w:rFonts w:asciiTheme="minorHAnsi" w:hAnsiTheme="minorHAnsi"/>
          <w:sz w:val="24"/>
        </w:rPr>
      </w:pPr>
      <w:r w:rsidRPr="00BD17D6">
        <w:rPr>
          <w:rFonts w:asciiTheme="minorHAnsi" w:hAnsiTheme="minorHAnsi"/>
          <w:sz w:val="24"/>
        </w:rPr>
        <w:t xml:space="preserve">Wartość inwestycji oddanych do użytku w roku 2014 r. wyniosła 753 711,35 zł. Najwięcej środków przeznaczono na budowę i modernizacje sieci cieplnej. Przyłączono do sieci 9 nowych obiektów. W związku z tym wybudowano 177 m nowej sieci preizolowanej. Poza tym wymieniono 551 m starej sieci na preizolowaną. </w:t>
      </w:r>
    </w:p>
    <w:p w:rsidR="001512FC" w:rsidRPr="00BD17D6" w:rsidRDefault="001512FC" w:rsidP="001512FC">
      <w:pPr>
        <w:pStyle w:val="Bezodstpw"/>
        <w:jc w:val="both"/>
        <w:rPr>
          <w:rFonts w:asciiTheme="minorHAnsi" w:hAnsiTheme="minorHAnsi"/>
          <w:b/>
          <w:sz w:val="10"/>
        </w:rPr>
      </w:pPr>
      <w:r w:rsidRPr="00BD17D6">
        <w:rPr>
          <w:rFonts w:asciiTheme="minorHAnsi" w:hAnsiTheme="minorHAnsi"/>
          <w:sz w:val="24"/>
        </w:rPr>
        <w:t xml:space="preserve">Na prace remontowe, mające utrzymać sieć cieplną i posiadane urządzenia w stałej gotowości technicznej i sprawność Spółka wydała w 2014 r. kwotę 2 182 tys. zł. </w:t>
      </w:r>
    </w:p>
    <w:p w:rsidR="001512FC" w:rsidRPr="00BD17D6" w:rsidRDefault="001512FC" w:rsidP="001512FC">
      <w:pPr>
        <w:pStyle w:val="Bezodstpw"/>
        <w:jc w:val="both"/>
        <w:rPr>
          <w:rFonts w:asciiTheme="minorHAnsi" w:hAnsiTheme="minorHAnsi"/>
          <w:b/>
          <w:sz w:val="10"/>
        </w:rPr>
      </w:pPr>
    </w:p>
    <w:p w:rsidR="001512FC" w:rsidRDefault="001512FC" w:rsidP="001512FC">
      <w:pPr>
        <w:pStyle w:val="Bezodstpw"/>
        <w:jc w:val="both"/>
        <w:rPr>
          <w:rFonts w:asciiTheme="minorHAnsi" w:hAnsiTheme="minorHAnsi"/>
          <w:b/>
          <w:sz w:val="24"/>
        </w:rPr>
      </w:pPr>
      <w:r w:rsidRPr="00BD17D6">
        <w:rPr>
          <w:rFonts w:asciiTheme="minorHAnsi" w:hAnsiTheme="minorHAnsi"/>
          <w:b/>
          <w:sz w:val="24"/>
        </w:rPr>
        <w:t>Zatrudnienie</w:t>
      </w:r>
    </w:p>
    <w:p w:rsidR="00B00B38" w:rsidRPr="00B00B38" w:rsidRDefault="00B00B38" w:rsidP="001512FC">
      <w:pPr>
        <w:pStyle w:val="Bezodstpw"/>
        <w:jc w:val="both"/>
        <w:rPr>
          <w:rFonts w:asciiTheme="minorHAnsi" w:hAnsiTheme="minorHAnsi"/>
          <w:b/>
          <w:sz w:val="10"/>
        </w:rPr>
      </w:pPr>
    </w:p>
    <w:p w:rsidR="001512FC" w:rsidRPr="00BD17D6" w:rsidRDefault="001512FC" w:rsidP="001512FC">
      <w:pPr>
        <w:pStyle w:val="Bezodstpw"/>
        <w:jc w:val="both"/>
        <w:rPr>
          <w:rFonts w:asciiTheme="minorHAnsi" w:hAnsiTheme="minorHAnsi"/>
          <w:sz w:val="24"/>
        </w:rPr>
      </w:pPr>
      <w:r w:rsidRPr="00BD17D6">
        <w:rPr>
          <w:rFonts w:asciiTheme="minorHAnsi" w:hAnsiTheme="minorHAnsi"/>
          <w:sz w:val="24"/>
        </w:rPr>
        <w:t xml:space="preserve">Na koniec roku zatrudniano w Spółce 93 pracowników. Przeciętne wynagrodzenie w roku 2014 wyniosło 4 232,74 zł. W porównaniu z rokiem poprzednim jest to wzrost o  3,46%. Wynagrodzenie Zarządu Spółki w roku badanym wyniosło 243 916,66 zł, natomiast wynagrodzenie Rady Nadzorczej 66 000 zł. </w:t>
      </w:r>
    </w:p>
    <w:p w:rsidR="001512FC" w:rsidRPr="008A41D4" w:rsidRDefault="001512FC" w:rsidP="001512FC">
      <w:pPr>
        <w:pStyle w:val="Bezodstpw"/>
        <w:rPr>
          <w:rFonts w:asciiTheme="minorHAnsi" w:hAnsiTheme="minorHAnsi"/>
          <w:b/>
          <w:sz w:val="10"/>
        </w:rPr>
      </w:pPr>
    </w:p>
    <w:p w:rsidR="001512FC" w:rsidRDefault="001512FC" w:rsidP="001512FC">
      <w:pPr>
        <w:pStyle w:val="Bezodstpw"/>
        <w:rPr>
          <w:rFonts w:asciiTheme="minorHAnsi" w:hAnsiTheme="minorHAnsi"/>
          <w:sz w:val="24"/>
        </w:rPr>
      </w:pPr>
      <w:r w:rsidRPr="00BD17D6">
        <w:rPr>
          <w:rFonts w:asciiTheme="minorHAnsi" w:hAnsiTheme="minorHAnsi"/>
          <w:b/>
          <w:sz w:val="24"/>
        </w:rPr>
        <w:t>Przychody</w:t>
      </w:r>
      <w:r w:rsidRPr="00BD17D6">
        <w:rPr>
          <w:rFonts w:asciiTheme="minorHAnsi" w:hAnsiTheme="minorHAnsi"/>
          <w:sz w:val="24"/>
        </w:rPr>
        <w:t xml:space="preserve"> </w:t>
      </w:r>
    </w:p>
    <w:p w:rsidR="00B00B38" w:rsidRPr="00B00B38" w:rsidRDefault="00B00B38" w:rsidP="001512FC">
      <w:pPr>
        <w:pStyle w:val="Bezodstpw"/>
        <w:rPr>
          <w:rFonts w:asciiTheme="minorHAnsi" w:hAnsiTheme="minorHAnsi"/>
          <w:sz w:val="10"/>
        </w:rPr>
      </w:pPr>
    </w:p>
    <w:p w:rsidR="001512FC" w:rsidRPr="00BD17D6" w:rsidRDefault="001512FC" w:rsidP="001512FC">
      <w:pPr>
        <w:pStyle w:val="Bezodstpw"/>
        <w:jc w:val="both"/>
        <w:rPr>
          <w:rFonts w:asciiTheme="minorHAnsi" w:hAnsiTheme="minorHAnsi"/>
          <w:sz w:val="24"/>
        </w:rPr>
      </w:pPr>
      <w:r w:rsidRPr="00BD17D6">
        <w:rPr>
          <w:rFonts w:asciiTheme="minorHAnsi" w:hAnsiTheme="minorHAnsi"/>
          <w:sz w:val="24"/>
        </w:rPr>
        <w:t xml:space="preserve">Spadek przychodów ze sprzedaży (6,85 %) spowodowany został mniejszymi niż w roku 2013 przychodami ze sprzedaży produktów. Na wartość przychodów finansowych składają się odsetki od należności. </w:t>
      </w:r>
    </w:p>
    <w:p w:rsidR="001512FC" w:rsidRPr="0021345C" w:rsidRDefault="001512FC" w:rsidP="001512FC">
      <w:pPr>
        <w:pStyle w:val="Bezodstpw"/>
        <w:rPr>
          <w:rFonts w:asciiTheme="minorHAnsi" w:hAnsiTheme="minorHAnsi"/>
          <w:sz w:val="18"/>
        </w:rPr>
      </w:pPr>
    </w:p>
    <w:tbl>
      <w:tblPr>
        <w:tblW w:w="4924" w:type="pct"/>
        <w:tblInd w:w="70" w:type="dxa"/>
        <w:tblLayout w:type="fixed"/>
        <w:tblCellMar>
          <w:left w:w="70" w:type="dxa"/>
          <w:right w:w="70" w:type="dxa"/>
        </w:tblCellMar>
        <w:tblLook w:val="04A0" w:firstRow="1" w:lastRow="0" w:firstColumn="1" w:lastColumn="0" w:noHBand="0" w:noVBand="1"/>
      </w:tblPr>
      <w:tblGrid>
        <w:gridCol w:w="2694"/>
        <w:gridCol w:w="1595"/>
        <w:gridCol w:w="1595"/>
        <w:gridCol w:w="1595"/>
        <w:gridCol w:w="1593"/>
      </w:tblGrid>
      <w:tr w:rsidR="001512FC" w:rsidRPr="00BD17D6" w:rsidTr="00644E9A">
        <w:trPr>
          <w:trHeight w:val="330"/>
        </w:trPr>
        <w:tc>
          <w:tcPr>
            <w:tcW w:w="1485" w:type="pct"/>
            <w:tcBorders>
              <w:top w:val="single" w:sz="4" w:space="0" w:color="auto"/>
              <w:left w:val="single" w:sz="4" w:space="0" w:color="auto"/>
              <w:bottom w:val="nil"/>
              <w:right w:val="single" w:sz="4" w:space="0" w:color="auto"/>
            </w:tcBorders>
            <w:shd w:val="clear" w:color="000000" w:fill="C0C0C0"/>
            <w:noWrap/>
            <w:vAlign w:val="center"/>
            <w:hideMark/>
          </w:tcPr>
          <w:p w:rsidR="001512FC" w:rsidRPr="00BD17D6" w:rsidRDefault="001512FC" w:rsidP="00644E9A">
            <w:pPr>
              <w:spacing w:after="0" w:line="240" w:lineRule="auto"/>
              <w:jc w:val="center"/>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Treść</w:t>
            </w:r>
          </w:p>
        </w:tc>
        <w:tc>
          <w:tcPr>
            <w:tcW w:w="879" w:type="pct"/>
            <w:tcBorders>
              <w:top w:val="single" w:sz="4" w:space="0" w:color="auto"/>
              <w:left w:val="nil"/>
              <w:bottom w:val="single" w:sz="4" w:space="0" w:color="auto"/>
              <w:right w:val="single" w:sz="4" w:space="0" w:color="auto"/>
            </w:tcBorders>
            <w:shd w:val="clear" w:color="000000" w:fill="C0C0C0"/>
            <w:noWrap/>
            <w:vAlign w:val="center"/>
            <w:hideMark/>
          </w:tcPr>
          <w:p w:rsidR="001512FC" w:rsidRPr="00BD17D6" w:rsidRDefault="001512FC" w:rsidP="00644E9A">
            <w:pPr>
              <w:spacing w:after="0" w:line="240" w:lineRule="auto"/>
              <w:jc w:val="center"/>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2011</w:t>
            </w:r>
          </w:p>
        </w:tc>
        <w:tc>
          <w:tcPr>
            <w:tcW w:w="879" w:type="pct"/>
            <w:tcBorders>
              <w:top w:val="single" w:sz="4" w:space="0" w:color="auto"/>
              <w:left w:val="nil"/>
              <w:bottom w:val="single" w:sz="4" w:space="0" w:color="auto"/>
              <w:right w:val="single" w:sz="4" w:space="0" w:color="auto"/>
            </w:tcBorders>
            <w:shd w:val="clear" w:color="000000" w:fill="C0C0C0"/>
            <w:noWrap/>
            <w:vAlign w:val="center"/>
            <w:hideMark/>
          </w:tcPr>
          <w:p w:rsidR="001512FC" w:rsidRPr="00BD17D6" w:rsidRDefault="001512FC" w:rsidP="00644E9A">
            <w:pPr>
              <w:spacing w:after="0" w:line="240" w:lineRule="auto"/>
              <w:jc w:val="center"/>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2012</w:t>
            </w:r>
          </w:p>
        </w:tc>
        <w:tc>
          <w:tcPr>
            <w:tcW w:w="879" w:type="pct"/>
            <w:tcBorders>
              <w:top w:val="single" w:sz="4" w:space="0" w:color="auto"/>
              <w:left w:val="nil"/>
              <w:bottom w:val="single" w:sz="4" w:space="0" w:color="auto"/>
              <w:right w:val="single" w:sz="4" w:space="0" w:color="auto"/>
            </w:tcBorders>
            <w:shd w:val="clear" w:color="000000" w:fill="C0C0C0"/>
            <w:noWrap/>
            <w:vAlign w:val="center"/>
            <w:hideMark/>
          </w:tcPr>
          <w:p w:rsidR="001512FC" w:rsidRPr="00BD17D6" w:rsidRDefault="001512FC" w:rsidP="00644E9A">
            <w:pPr>
              <w:spacing w:after="0" w:line="240" w:lineRule="auto"/>
              <w:jc w:val="center"/>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2013</w:t>
            </w:r>
          </w:p>
        </w:tc>
        <w:tc>
          <w:tcPr>
            <w:tcW w:w="879" w:type="pct"/>
            <w:tcBorders>
              <w:top w:val="single" w:sz="4" w:space="0" w:color="auto"/>
              <w:left w:val="nil"/>
              <w:bottom w:val="single" w:sz="4" w:space="0" w:color="auto"/>
              <w:right w:val="single" w:sz="4" w:space="0" w:color="auto"/>
            </w:tcBorders>
            <w:shd w:val="clear" w:color="000000" w:fill="C0C0C0"/>
            <w:noWrap/>
            <w:vAlign w:val="center"/>
            <w:hideMark/>
          </w:tcPr>
          <w:p w:rsidR="001512FC" w:rsidRPr="00BD17D6" w:rsidRDefault="001512FC" w:rsidP="00644E9A">
            <w:pPr>
              <w:spacing w:after="0" w:line="240" w:lineRule="auto"/>
              <w:jc w:val="center"/>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2014</w:t>
            </w:r>
          </w:p>
        </w:tc>
      </w:tr>
      <w:tr w:rsidR="001512FC" w:rsidRPr="00BD17D6" w:rsidTr="002437D3">
        <w:trPr>
          <w:trHeight w:val="488"/>
        </w:trPr>
        <w:tc>
          <w:tcPr>
            <w:tcW w:w="1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12FC" w:rsidRPr="00BD17D6" w:rsidRDefault="001512FC" w:rsidP="002437D3">
            <w:pPr>
              <w:spacing w:after="0" w:line="240" w:lineRule="auto"/>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 xml:space="preserve">PRZYCHODY ZE SPRZEDAŻY </w:t>
            </w:r>
          </w:p>
        </w:tc>
        <w:tc>
          <w:tcPr>
            <w:tcW w:w="879"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2437D3">
            <w:pPr>
              <w:spacing w:after="0" w:line="240" w:lineRule="auto"/>
              <w:jc w:val="right"/>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21 974 372,88</w:t>
            </w:r>
          </w:p>
        </w:tc>
        <w:tc>
          <w:tcPr>
            <w:tcW w:w="879"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2437D3">
            <w:pPr>
              <w:spacing w:after="0" w:line="240" w:lineRule="auto"/>
              <w:jc w:val="right"/>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23 558 454,11</w:t>
            </w:r>
          </w:p>
        </w:tc>
        <w:tc>
          <w:tcPr>
            <w:tcW w:w="879"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2437D3">
            <w:pPr>
              <w:spacing w:after="0" w:line="240" w:lineRule="auto"/>
              <w:jc w:val="right"/>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23 229 536,02</w:t>
            </w:r>
          </w:p>
        </w:tc>
        <w:tc>
          <w:tcPr>
            <w:tcW w:w="879"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2437D3">
            <w:pPr>
              <w:spacing w:after="0" w:line="240" w:lineRule="auto"/>
              <w:jc w:val="right"/>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21 638 699,83</w:t>
            </w:r>
          </w:p>
        </w:tc>
      </w:tr>
      <w:tr w:rsidR="001512FC" w:rsidRPr="00BD17D6" w:rsidTr="002437D3">
        <w:trPr>
          <w:trHeight w:val="488"/>
        </w:trPr>
        <w:tc>
          <w:tcPr>
            <w:tcW w:w="1485" w:type="pct"/>
            <w:tcBorders>
              <w:top w:val="nil"/>
              <w:left w:val="single" w:sz="4" w:space="0" w:color="auto"/>
              <w:bottom w:val="single" w:sz="4" w:space="0" w:color="auto"/>
              <w:right w:val="single" w:sz="4" w:space="0" w:color="auto"/>
            </w:tcBorders>
            <w:shd w:val="clear" w:color="auto" w:fill="auto"/>
            <w:noWrap/>
            <w:vAlign w:val="center"/>
            <w:hideMark/>
          </w:tcPr>
          <w:p w:rsidR="001512FC" w:rsidRPr="00BD17D6" w:rsidRDefault="001512FC" w:rsidP="002437D3">
            <w:pPr>
              <w:spacing w:after="0" w:line="240" w:lineRule="auto"/>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POZOSTAŁE PRZYCHODY OPERACYJNE</w:t>
            </w:r>
          </w:p>
        </w:tc>
        <w:tc>
          <w:tcPr>
            <w:tcW w:w="879"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2437D3">
            <w:pPr>
              <w:spacing w:after="0" w:line="240" w:lineRule="auto"/>
              <w:jc w:val="right"/>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368 479,44</w:t>
            </w:r>
          </w:p>
        </w:tc>
        <w:tc>
          <w:tcPr>
            <w:tcW w:w="879"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2437D3">
            <w:pPr>
              <w:spacing w:after="0" w:line="240" w:lineRule="auto"/>
              <w:jc w:val="right"/>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251 394,70</w:t>
            </w:r>
          </w:p>
        </w:tc>
        <w:tc>
          <w:tcPr>
            <w:tcW w:w="879"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2437D3">
            <w:pPr>
              <w:spacing w:after="0" w:line="240" w:lineRule="auto"/>
              <w:jc w:val="right"/>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352 231,42</w:t>
            </w:r>
          </w:p>
        </w:tc>
        <w:tc>
          <w:tcPr>
            <w:tcW w:w="879"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2437D3">
            <w:pPr>
              <w:spacing w:after="0" w:line="240" w:lineRule="auto"/>
              <w:jc w:val="right"/>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348 901,46</w:t>
            </w:r>
          </w:p>
        </w:tc>
      </w:tr>
      <w:tr w:rsidR="001512FC" w:rsidRPr="00BD17D6" w:rsidTr="002437D3">
        <w:trPr>
          <w:trHeight w:val="488"/>
        </w:trPr>
        <w:tc>
          <w:tcPr>
            <w:tcW w:w="1485" w:type="pct"/>
            <w:tcBorders>
              <w:top w:val="nil"/>
              <w:left w:val="single" w:sz="4" w:space="0" w:color="auto"/>
              <w:bottom w:val="single" w:sz="4" w:space="0" w:color="auto"/>
              <w:right w:val="single" w:sz="4" w:space="0" w:color="auto"/>
            </w:tcBorders>
            <w:shd w:val="clear" w:color="auto" w:fill="auto"/>
            <w:noWrap/>
            <w:vAlign w:val="center"/>
            <w:hideMark/>
          </w:tcPr>
          <w:p w:rsidR="001512FC" w:rsidRPr="00BD17D6" w:rsidRDefault="001512FC" w:rsidP="002437D3">
            <w:pPr>
              <w:spacing w:after="0" w:line="240" w:lineRule="auto"/>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PRZYCHODY FINANSOWE</w:t>
            </w:r>
          </w:p>
        </w:tc>
        <w:tc>
          <w:tcPr>
            <w:tcW w:w="879"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2437D3">
            <w:pPr>
              <w:spacing w:after="0" w:line="240" w:lineRule="auto"/>
              <w:jc w:val="right"/>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75 631,03</w:t>
            </w:r>
          </w:p>
        </w:tc>
        <w:tc>
          <w:tcPr>
            <w:tcW w:w="879"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2437D3">
            <w:pPr>
              <w:spacing w:after="0" w:line="240" w:lineRule="auto"/>
              <w:jc w:val="right"/>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303 892,23</w:t>
            </w:r>
          </w:p>
        </w:tc>
        <w:tc>
          <w:tcPr>
            <w:tcW w:w="879"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2437D3">
            <w:pPr>
              <w:spacing w:after="0" w:line="240" w:lineRule="auto"/>
              <w:jc w:val="right"/>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52 592,49</w:t>
            </w:r>
          </w:p>
        </w:tc>
        <w:tc>
          <w:tcPr>
            <w:tcW w:w="879"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2437D3">
            <w:pPr>
              <w:spacing w:after="0" w:line="240" w:lineRule="auto"/>
              <w:jc w:val="right"/>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68 931,72</w:t>
            </w:r>
          </w:p>
        </w:tc>
      </w:tr>
    </w:tbl>
    <w:p w:rsidR="001512FC" w:rsidRPr="00B00B38" w:rsidRDefault="001512FC" w:rsidP="001512FC">
      <w:pPr>
        <w:pStyle w:val="Bezodstpw"/>
        <w:rPr>
          <w:rFonts w:asciiTheme="minorHAnsi" w:hAnsiTheme="minorHAnsi"/>
        </w:rPr>
      </w:pPr>
    </w:p>
    <w:p w:rsidR="002437D3" w:rsidRDefault="002437D3" w:rsidP="001512FC">
      <w:pPr>
        <w:pStyle w:val="Bezodstpw"/>
        <w:rPr>
          <w:rFonts w:asciiTheme="minorHAnsi" w:hAnsiTheme="minorHAnsi"/>
          <w:b/>
          <w:sz w:val="24"/>
          <w:szCs w:val="24"/>
        </w:rPr>
      </w:pPr>
    </w:p>
    <w:p w:rsidR="002437D3" w:rsidRDefault="002437D3" w:rsidP="001512FC">
      <w:pPr>
        <w:pStyle w:val="Bezodstpw"/>
        <w:rPr>
          <w:rFonts w:asciiTheme="minorHAnsi" w:hAnsiTheme="minorHAnsi"/>
          <w:b/>
          <w:sz w:val="24"/>
          <w:szCs w:val="24"/>
        </w:rPr>
      </w:pPr>
    </w:p>
    <w:p w:rsidR="001512FC" w:rsidRPr="00BD17D6" w:rsidRDefault="001512FC" w:rsidP="001512FC">
      <w:pPr>
        <w:pStyle w:val="Bezodstpw"/>
        <w:rPr>
          <w:rFonts w:asciiTheme="minorHAnsi" w:hAnsiTheme="minorHAnsi"/>
          <w:b/>
          <w:sz w:val="24"/>
          <w:szCs w:val="24"/>
        </w:rPr>
      </w:pPr>
      <w:r w:rsidRPr="00BD17D6">
        <w:rPr>
          <w:rFonts w:asciiTheme="minorHAnsi" w:hAnsiTheme="minorHAnsi"/>
          <w:b/>
          <w:sz w:val="24"/>
          <w:szCs w:val="24"/>
        </w:rPr>
        <w:lastRenderedPageBreak/>
        <w:t>Koszty</w:t>
      </w:r>
    </w:p>
    <w:p w:rsidR="001512FC" w:rsidRPr="008A41D4" w:rsidRDefault="001512FC" w:rsidP="001512FC">
      <w:pPr>
        <w:pStyle w:val="Bezodstpw"/>
        <w:rPr>
          <w:rFonts w:asciiTheme="minorHAnsi" w:hAnsiTheme="minorHAnsi"/>
          <w:b/>
          <w:sz w:val="10"/>
          <w:szCs w:val="24"/>
        </w:rPr>
      </w:pPr>
    </w:p>
    <w:p w:rsidR="001512FC" w:rsidRPr="00BD17D6" w:rsidRDefault="001512FC" w:rsidP="001512FC">
      <w:pPr>
        <w:pStyle w:val="Bezodstpw"/>
        <w:jc w:val="both"/>
        <w:rPr>
          <w:rFonts w:asciiTheme="minorHAnsi" w:hAnsiTheme="minorHAnsi"/>
          <w:sz w:val="24"/>
          <w:szCs w:val="24"/>
        </w:rPr>
      </w:pPr>
      <w:r w:rsidRPr="00BD17D6">
        <w:rPr>
          <w:rFonts w:asciiTheme="minorHAnsi" w:hAnsiTheme="minorHAnsi"/>
          <w:sz w:val="24"/>
          <w:szCs w:val="24"/>
        </w:rPr>
        <w:t>Najwyższe pozycje wśród kosztów działalności operacyjnej, poniesionych przez Spółkę w</w:t>
      </w:r>
      <w:r w:rsidR="00AB4510">
        <w:rPr>
          <w:rFonts w:asciiTheme="minorHAnsi" w:hAnsiTheme="minorHAnsi"/>
          <w:sz w:val="24"/>
          <w:szCs w:val="24"/>
        </w:rPr>
        <w:t> </w:t>
      </w:r>
      <w:r w:rsidRPr="00BD17D6">
        <w:rPr>
          <w:rFonts w:asciiTheme="minorHAnsi" w:hAnsiTheme="minorHAnsi"/>
          <w:sz w:val="24"/>
          <w:szCs w:val="24"/>
        </w:rPr>
        <w:t xml:space="preserve">2014 r. zajmują: zużycie materiałów i energii – 8 721 288,70 zł, wynagrodzenia – 4 783 740,97 zł, usługi obce – 2 690 089,13 zł, amortyzacja – 1 731 133,85 zł, ubezpieczenia społeczne i inne świadczenia - 1 454 122,20 zł oraz podatki i opłaty – 1 318 815,91 zł. Wśród pozostałych kosztów operacyjnych najważniejszą pozycją jest aktualizacja wartości aktywów niefinansowych – rezerwa na zobowiązania - kara </w:t>
      </w:r>
      <w:r w:rsidR="004D0DA4" w:rsidRPr="00BD17D6">
        <w:rPr>
          <w:rFonts w:asciiTheme="minorHAnsi" w:hAnsiTheme="minorHAnsi"/>
          <w:sz w:val="24"/>
          <w:szCs w:val="24"/>
        </w:rPr>
        <w:t>UOKIK</w:t>
      </w:r>
      <w:r w:rsidRPr="00BD17D6">
        <w:rPr>
          <w:rFonts w:asciiTheme="minorHAnsi" w:hAnsiTheme="minorHAnsi"/>
          <w:sz w:val="24"/>
          <w:szCs w:val="24"/>
        </w:rPr>
        <w:t xml:space="preserve"> w wysokości 104 571,00 zł. Koszty finansowe to zapłacone przez Spółkę odsetki.</w:t>
      </w:r>
    </w:p>
    <w:p w:rsidR="001512FC" w:rsidRPr="00BD17D6" w:rsidRDefault="001512FC" w:rsidP="001512FC">
      <w:pPr>
        <w:pStyle w:val="Bezodstpw"/>
        <w:rPr>
          <w:rFonts w:asciiTheme="minorHAnsi" w:hAnsiTheme="minorHAnsi"/>
          <w:sz w:val="20"/>
        </w:rPr>
      </w:pPr>
    </w:p>
    <w:tbl>
      <w:tblPr>
        <w:tblW w:w="5000" w:type="pct"/>
        <w:tblLayout w:type="fixed"/>
        <w:tblCellMar>
          <w:left w:w="70" w:type="dxa"/>
          <w:right w:w="70" w:type="dxa"/>
        </w:tblCellMar>
        <w:tblLook w:val="04A0" w:firstRow="1" w:lastRow="0" w:firstColumn="1" w:lastColumn="0" w:noHBand="0" w:noVBand="1"/>
      </w:tblPr>
      <w:tblGrid>
        <w:gridCol w:w="2904"/>
        <w:gridCol w:w="1561"/>
        <w:gridCol w:w="1561"/>
        <w:gridCol w:w="1561"/>
        <w:gridCol w:w="1625"/>
      </w:tblGrid>
      <w:tr w:rsidR="001512FC" w:rsidRPr="00BD17D6" w:rsidTr="00644E9A">
        <w:trPr>
          <w:trHeight w:val="330"/>
        </w:trPr>
        <w:tc>
          <w:tcPr>
            <w:tcW w:w="1577" w:type="pct"/>
            <w:tcBorders>
              <w:top w:val="single" w:sz="4" w:space="0" w:color="auto"/>
              <w:left w:val="single" w:sz="4" w:space="0" w:color="auto"/>
              <w:bottom w:val="nil"/>
              <w:right w:val="single" w:sz="4" w:space="0" w:color="auto"/>
            </w:tcBorders>
            <w:shd w:val="clear" w:color="000000" w:fill="C0C0C0"/>
            <w:noWrap/>
            <w:vAlign w:val="center"/>
            <w:hideMark/>
          </w:tcPr>
          <w:p w:rsidR="001512FC" w:rsidRPr="00BD17D6" w:rsidRDefault="001512FC" w:rsidP="00644E9A">
            <w:pPr>
              <w:spacing w:after="0" w:line="240" w:lineRule="auto"/>
              <w:jc w:val="center"/>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Treść</w:t>
            </w:r>
          </w:p>
        </w:tc>
        <w:tc>
          <w:tcPr>
            <w:tcW w:w="847" w:type="pct"/>
            <w:tcBorders>
              <w:top w:val="single" w:sz="4" w:space="0" w:color="auto"/>
              <w:left w:val="nil"/>
              <w:bottom w:val="single" w:sz="4" w:space="0" w:color="auto"/>
              <w:right w:val="single" w:sz="4" w:space="0" w:color="auto"/>
            </w:tcBorders>
            <w:shd w:val="clear" w:color="000000" w:fill="C0C0C0"/>
            <w:noWrap/>
            <w:vAlign w:val="center"/>
            <w:hideMark/>
          </w:tcPr>
          <w:p w:rsidR="001512FC" w:rsidRPr="00BD17D6" w:rsidRDefault="001512FC" w:rsidP="00644E9A">
            <w:pPr>
              <w:spacing w:after="0" w:line="240" w:lineRule="auto"/>
              <w:jc w:val="center"/>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2011</w:t>
            </w:r>
          </w:p>
        </w:tc>
        <w:tc>
          <w:tcPr>
            <w:tcW w:w="847" w:type="pct"/>
            <w:tcBorders>
              <w:top w:val="single" w:sz="4" w:space="0" w:color="auto"/>
              <w:left w:val="nil"/>
              <w:bottom w:val="single" w:sz="4" w:space="0" w:color="auto"/>
              <w:right w:val="single" w:sz="4" w:space="0" w:color="auto"/>
            </w:tcBorders>
            <w:shd w:val="clear" w:color="000000" w:fill="C0C0C0"/>
            <w:noWrap/>
            <w:vAlign w:val="center"/>
            <w:hideMark/>
          </w:tcPr>
          <w:p w:rsidR="001512FC" w:rsidRPr="00BD17D6" w:rsidRDefault="001512FC" w:rsidP="00644E9A">
            <w:pPr>
              <w:spacing w:after="0" w:line="240" w:lineRule="auto"/>
              <w:jc w:val="center"/>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2012</w:t>
            </w:r>
          </w:p>
        </w:tc>
        <w:tc>
          <w:tcPr>
            <w:tcW w:w="847" w:type="pct"/>
            <w:tcBorders>
              <w:top w:val="single" w:sz="4" w:space="0" w:color="auto"/>
              <w:left w:val="nil"/>
              <w:bottom w:val="single" w:sz="4" w:space="0" w:color="auto"/>
              <w:right w:val="single" w:sz="4" w:space="0" w:color="auto"/>
            </w:tcBorders>
            <w:shd w:val="clear" w:color="000000" w:fill="C0C0C0"/>
            <w:noWrap/>
            <w:vAlign w:val="center"/>
            <w:hideMark/>
          </w:tcPr>
          <w:p w:rsidR="001512FC" w:rsidRPr="00BD17D6" w:rsidRDefault="001512FC" w:rsidP="00644E9A">
            <w:pPr>
              <w:spacing w:after="0" w:line="240" w:lineRule="auto"/>
              <w:jc w:val="center"/>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2013</w:t>
            </w:r>
          </w:p>
        </w:tc>
        <w:tc>
          <w:tcPr>
            <w:tcW w:w="882" w:type="pct"/>
            <w:tcBorders>
              <w:top w:val="single" w:sz="4" w:space="0" w:color="auto"/>
              <w:left w:val="nil"/>
              <w:bottom w:val="single" w:sz="4" w:space="0" w:color="auto"/>
              <w:right w:val="single" w:sz="4" w:space="0" w:color="auto"/>
            </w:tcBorders>
            <w:shd w:val="clear" w:color="000000" w:fill="C0C0C0"/>
            <w:noWrap/>
            <w:vAlign w:val="center"/>
            <w:hideMark/>
          </w:tcPr>
          <w:p w:rsidR="001512FC" w:rsidRPr="00BD17D6" w:rsidRDefault="001512FC" w:rsidP="00644E9A">
            <w:pPr>
              <w:spacing w:after="0" w:line="240" w:lineRule="auto"/>
              <w:jc w:val="center"/>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2014</w:t>
            </w:r>
          </w:p>
        </w:tc>
      </w:tr>
      <w:tr w:rsidR="001512FC" w:rsidRPr="00BD17D6" w:rsidTr="001958EC">
        <w:trPr>
          <w:trHeight w:val="488"/>
        </w:trPr>
        <w:tc>
          <w:tcPr>
            <w:tcW w:w="15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KOSZTY DZIAŁALNOŚCI OPERACYJNEJ</w:t>
            </w:r>
          </w:p>
        </w:tc>
        <w:tc>
          <w:tcPr>
            <w:tcW w:w="847"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21 319 920,48</w:t>
            </w:r>
          </w:p>
        </w:tc>
        <w:tc>
          <w:tcPr>
            <w:tcW w:w="847"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22 813 757,62</w:t>
            </w:r>
          </w:p>
        </w:tc>
        <w:tc>
          <w:tcPr>
            <w:tcW w:w="847"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22 482 676,06</w:t>
            </w:r>
          </w:p>
        </w:tc>
        <w:tc>
          <w:tcPr>
            <w:tcW w:w="882"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20 915 101,81</w:t>
            </w:r>
          </w:p>
        </w:tc>
      </w:tr>
      <w:tr w:rsidR="001512FC" w:rsidRPr="00BD17D6" w:rsidTr="001958EC">
        <w:trPr>
          <w:trHeight w:val="488"/>
        </w:trPr>
        <w:tc>
          <w:tcPr>
            <w:tcW w:w="1577" w:type="pct"/>
            <w:tcBorders>
              <w:top w:val="nil"/>
              <w:left w:val="single" w:sz="4" w:space="0" w:color="auto"/>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POZOSTAŁE KOSZTY OPERACYJNE</w:t>
            </w:r>
          </w:p>
        </w:tc>
        <w:tc>
          <w:tcPr>
            <w:tcW w:w="847"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60 516,08</w:t>
            </w:r>
          </w:p>
        </w:tc>
        <w:tc>
          <w:tcPr>
            <w:tcW w:w="847"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280 890,96</w:t>
            </w:r>
          </w:p>
        </w:tc>
        <w:tc>
          <w:tcPr>
            <w:tcW w:w="847"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163 597,55</w:t>
            </w:r>
          </w:p>
        </w:tc>
        <w:tc>
          <w:tcPr>
            <w:tcW w:w="882"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225 923,97</w:t>
            </w:r>
          </w:p>
        </w:tc>
      </w:tr>
      <w:tr w:rsidR="001512FC" w:rsidRPr="00BD17D6" w:rsidTr="001958EC">
        <w:trPr>
          <w:trHeight w:val="488"/>
        </w:trPr>
        <w:tc>
          <w:tcPr>
            <w:tcW w:w="1577" w:type="pct"/>
            <w:tcBorders>
              <w:top w:val="nil"/>
              <w:left w:val="single" w:sz="4" w:space="0" w:color="auto"/>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KOSZTY FINANSOWE</w:t>
            </w:r>
          </w:p>
        </w:tc>
        <w:tc>
          <w:tcPr>
            <w:tcW w:w="847"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110 184,10</w:t>
            </w:r>
          </w:p>
        </w:tc>
        <w:tc>
          <w:tcPr>
            <w:tcW w:w="847"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123 490,39</w:t>
            </w:r>
          </w:p>
        </w:tc>
        <w:tc>
          <w:tcPr>
            <w:tcW w:w="847"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40 555,22</w:t>
            </w:r>
          </w:p>
        </w:tc>
        <w:tc>
          <w:tcPr>
            <w:tcW w:w="882"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14 505,08</w:t>
            </w:r>
          </w:p>
        </w:tc>
      </w:tr>
    </w:tbl>
    <w:p w:rsidR="001512FC" w:rsidRPr="003E6B74" w:rsidRDefault="001512FC" w:rsidP="001512FC">
      <w:pPr>
        <w:pStyle w:val="Bezodstpw"/>
        <w:rPr>
          <w:rFonts w:asciiTheme="minorHAnsi" w:hAnsiTheme="minorHAnsi"/>
          <w:sz w:val="16"/>
        </w:rPr>
      </w:pPr>
    </w:p>
    <w:p w:rsidR="001512FC" w:rsidRPr="00BD17D6" w:rsidRDefault="001512FC" w:rsidP="001512FC">
      <w:pPr>
        <w:pStyle w:val="Bezodstpw"/>
        <w:rPr>
          <w:rFonts w:asciiTheme="minorHAnsi" w:hAnsiTheme="minorHAnsi"/>
          <w:b/>
          <w:sz w:val="24"/>
        </w:rPr>
      </w:pPr>
      <w:r w:rsidRPr="00BD17D6">
        <w:rPr>
          <w:rFonts w:asciiTheme="minorHAnsi" w:hAnsiTheme="minorHAnsi"/>
          <w:b/>
          <w:sz w:val="24"/>
        </w:rPr>
        <w:t>Zysk</w:t>
      </w:r>
    </w:p>
    <w:p w:rsidR="001512FC" w:rsidRPr="003E6B74" w:rsidRDefault="001512FC" w:rsidP="001512FC">
      <w:pPr>
        <w:pStyle w:val="Bezodstpw"/>
        <w:rPr>
          <w:rFonts w:asciiTheme="minorHAnsi" w:hAnsiTheme="minorHAnsi"/>
          <w:b/>
          <w:sz w:val="10"/>
        </w:rPr>
      </w:pPr>
    </w:p>
    <w:p w:rsidR="001512FC" w:rsidRPr="00BD17D6" w:rsidRDefault="001512FC" w:rsidP="001512FC">
      <w:pPr>
        <w:pStyle w:val="Bezodstpw"/>
        <w:jc w:val="both"/>
        <w:rPr>
          <w:rFonts w:asciiTheme="minorHAnsi" w:hAnsiTheme="minorHAnsi"/>
          <w:sz w:val="24"/>
        </w:rPr>
      </w:pPr>
      <w:r w:rsidRPr="00BD17D6">
        <w:rPr>
          <w:rFonts w:asciiTheme="minorHAnsi" w:hAnsiTheme="minorHAnsi"/>
          <w:sz w:val="24"/>
        </w:rPr>
        <w:t>Mający miejsce w 2014 r. spadek łącznych przychodów Spółki o 6,68 % w porównaniu z</w:t>
      </w:r>
      <w:r w:rsidR="00AB4510">
        <w:rPr>
          <w:rFonts w:asciiTheme="minorHAnsi" w:hAnsiTheme="minorHAnsi"/>
          <w:sz w:val="24"/>
        </w:rPr>
        <w:t> </w:t>
      </w:r>
      <w:r w:rsidRPr="00BD17D6">
        <w:rPr>
          <w:rFonts w:asciiTheme="minorHAnsi" w:hAnsiTheme="minorHAnsi"/>
          <w:sz w:val="24"/>
        </w:rPr>
        <w:t>rokiem poprzednim, nie przełożył się na zmniejszenie wypracowanego zysku. Koszty ogółem poniesione w 2014 r. były niższe od analogicznych kosztów z roku 2013 o 0,07 %. W</w:t>
      </w:r>
      <w:r w:rsidR="00AB4510">
        <w:rPr>
          <w:rFonts w:asciiTheme="minorHAnsi" w:hAnsiTheme="minorHAnsi"/>
          <w:sz w:val="24"/>
        </w:rPr>
        <w:t> </w:t>
      </w:r>
      <w:r w:rsidRPr="00BD17D6">
        <w:rPr>
          <w:rFonts w:asciiTheme="minorHAnsi" w:hAnsiTheme="minorHAnsi"/>
          <w:sz w:val="24"/>
        </w:rPr>
        <w:t xml:space="preserve">związku z tym Spółka odnotowała wzrost zysku. </w:t>
      </w:r>
    </w:p>
    <w:p w:rsidR="001512FC" w:rsidRPr="00BD17D6" w:rsidRDefault="001512FC" w:rsidP="001512FC">
      <w:pPr>
        <w:pStyle w:val="Bezodstpw"/>
        <w:rPr>
          <w:rFonts w:asciiTheme="minorHAnsi" w:hAnsiTheme="minorHAnsi"/>
          <w:sz w:val="16"/>
        </w:rPr>
      </w:pPr>
      <w:r w:rsidRPr="00BD17D6">
        <w:rPr>
          <w:rFonts w:asciiTheme="minorHAnsi" w:hAnsiTheme="minorHAnsi"/>
          <w:sz w:val="24"/>
        </w:rPr>
        <w:t xml:space="preserve"> </w:t>
      </w:r>
    </w:p>
    <w:tbl>
      <w:tblPr>
        <w:tblW w:w="4962" w:type="pct"/>
        <w:tblInd w:w="70" w:type="dxa"/>
        <w:tblCellMar>
          <w:left w:w="70" w:type="dxa"/>
          <w:right w:w="70" w:type="dxa"/>
        </w:tblCellMar>
        <w:tblLook w:val="04A0" w:firstRow="1" w:lastRow="0" w:firstColumn="1" w:lastColumn="0" w:noHBand="0" w:noVBand="1"/>
      </w:tblPr>
      <w:tblGrid>
        <w:gridCol w:w="3858"/>
        <w:gridCol w:w="1304"/>
        <w:gridCol w:w="1304"/>
        <w:gridCol w:w="1338"/>
        <w:gridCol w:w="1338"/>
      </w:tblGrid>
      <w:tr w:rsidR="001512FC" w:rsidRPr="00BD17D6" w:rsidTr="00644E9A">
        <w:trPr>
          <w:trHeight w:val="330"/>
        </w:trPr>
        <w:tc>
          <w:tcPr>
            <w:tcW w:w="2110" w:type="pct"/>
            <w:tcBorders>
              <w:top w:val="single" w:sz="4" w:space="0" w:color="auto"/>
              <w:left w:val="single" w:sz="4" w:space="0" w:color="auto"/>
              <w:bottom w:val="nil"/>
              <w:right w:val="single" w:sz="4" w:space="0" w:color="auto"/>
            </w:tcBorders>
            <w:shd w:val="clear" w:color="000000" w:fill="C0C0C0"/>
            <w:noWrap/>
            <w:vAlign w:val="center"/>
            <w:hideMark/>
          </w:tcPr>
          <w:p w:rsidR="001512FC" w:rsidRPr="00BD17D6" w:rsidRDefault="001512FC" w:rsidP="00644E9A">
            <w:pPr>
              <w:spacing w:after="0" w:line="240" w:lineRule="auto"/>
              <w:jc w:val="center"/>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Treść</w:t>
            </w:r>
          </w:p>
        </w:tc>
        <w:tc>
          <w:tcPr>
            <w:tcW w:w="713" w:type="pct"/>
            <w:tcBorders>
              <w:top w:val="single" w:sz="4" w:space="0" w:color="auto"/>
              <w:left w:val="nil"/>
              <w:bottom w:val="single" w:sz="4" w:space="0" w:color="auto"/>
              <w:right w:val="single" w:sz="4" w:space="0" w:color="auto"/>
            </w:tcBorders>
            <w:shd w:val="clear" w:color="000000" w:fill="C0C0C0"/>
            <w:noWrap/>
            <w:vAlign w:val="center"/>
            <w:hideMark/>
          </w:tcPr>
          <w:p w:rsidR="001512FC" w:rsidRPr="00BD17D6" w:rsidRDefault="001512FC" w:rsidP="00644E9A">
            <w:pPr>
              <w:spacing w:after="0" w:line="240" w:lineRule="auto"/>
              <w:jc w:val="center"/>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2011</w:t>
            </w:r>
          </w:p>
        </w:tc>
        <w:tc>
          <w:tcPr>
            <w:tcW w:w="713" w:type="pct"/>
            <w:tcBorders>
              <w:top w:val="single" w:sz="4" w:space="0" w:color="auto"/>
              <w:left w:val="nil"/>
              <w:bottom w:val="single" w:sz="4" w:space="0" w:color="auto"/>
              <w:right w:val="single" w:sz="4" w:space="0" w:color="auto"/>
            </w:tcBorders>
            <w:shd w:val="clear" w:color="000000" w:fill="C0C0C0"/>
            <w:noWrap/>
            <w:vAlign w:val="center"/>
            <w:hideMark/>
          </w:tcPr>
          <w:p w:rsidR="001512FC" w:rsidRPr="00BD17D6" w:rsidRDefault="001512FC" w:rsidP="00644E9A">
            <w:pPr>
              <w:spacing w:after="0" w:line="240" w:lineRule="auto"/>
              <w:jc w:val="center"/>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2012</w:t>
            </w:r>
          </w:p>
        </w:tc>
        <w:tc>
          <w:tcPr>
            <w:tcW w:w="732" w:type="pct"/>
            <w:tcBorders>
              <w:top w:val="single" w:sz="4" w:space="0" w:color="auto"/>
              <w:left w:val="nil"/>
              <w:bottom w:val="single" w:sz="4" w:space="0" w:color="auto"/>
              <w:right w:val="single" w:sz="4" w:space="0" w:color="auto"/>
            </w:tcBorders>
            <w:shd w:val="clear" w:color="000000" w:fill="C0C0C0"/>
            <w:noWrap/>
            <w:vAlign w:val="center"/>
            <w:hideMark/>
          </w:tcPr>
          <w:p w:rsidR="001512FC" w:rsidRPr="00BD17D6" w:rsidRDefault="001512FC" w:rsidP="00644E9A">
            <w:pPr>
              <w:spacing w:after="0" w:line="240" w:lineRule="auto"/>
              <w:jc w:val="center"/>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2013</w:t>
            </w:r>
          </w:p>
        </w:tc>
        <w:tc>
          <w:tcPr>
            <w:tcW w:w="732" w:type="pct"/>
            <w:tcBorders>
              <w:top w:val="single" w:sz="4" w:space="0" w:color="auto"/>
              <w:left w:val="nil"/>
              <w:bottom w:val="single" w:sz="4" w:space="0" w:color="auto"/>
              <w:right w:val="single" w:sz="4" w:space="0" w:color="auto"/>
            </w:tcBorders>
            <w:shd w:val="clear" w:color="000000" w:fill="C0C0C0"/>
            <w:noWrap/>
            <w:vAlign w:val="center"/>
            <w:hideMark/>
          </w:tcPr>
          <w:p w:rsidR="001512FC" w:rsidRPr="00BD17D6" w:rsidRDefault="001512FC" w:rsidP="00644E9A">
            <w:pPr>
              <w:spacing w:after="0" w:line="240" w:lineRule="auto"/>
              <w:jc w:val="center"/>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2014</w:t>
            </w:r>
          </w:p>
        </w:tc>
      </w:tr>
      <w:tr w:rsidR="001512FC" w:rsidRPr="00BD17D6" w:rsidTr="003E6B74">
        <w:trPr>
          <w:trHeight w:val="330"/>
        </w:trPr>
        <w:tc>
          <w:tcPr>
            <w:tcW w:w="21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ZYSK ZE SPRZEDAŻY</w:t>
            </w:r>
          </w:p>
        </w:tc>
        <w:tc>
          <w:tcPr>
            <w:tcW w:w="713"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654 452,40</w:t>
            </w:r>
          </w:p>
        </w:tc>
        <w:tc>
          <w:tcPr>
            <w:tcW w:w="713"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744 696,49</w:t>
            </w:r>
          </w:p>
        </w:tc>
        <w:tc>
          <w:tcPr>
            <w:tcW w:w="732"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746 859,96</w:t>
            </w:r>
          </w:p>
        </w:tc>
        <w:tc>
          <w:tcPr>
            <w:tcW w:w="732"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723 598,02</w:t>
            </w:r>
          </w:p>
        </w:tc>
      </w:tr>
      <w:tr w:rsidR="001512FC" w:rsidRPr="00BD17D6" w:rsidTr="003E6B74">
        <w:trPr>
          <w:trHeight w:val="330"/>
        </w:trPr>
        <w:tc>
          <w:tcPr>
            <w:tcW w:w="2110" w:type="pct"/>
            <w:tcBorders>
              <w:top w:val="nil"/>
              <w:left w:val="single" w:sz="4" w:space="0" w:color="auto"/>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ZYSK Z DZIAŁALNOŚCI OPERACYJNEJ</w:t>
            </w:r>
          </w:p>
        </w:tc>
        <w:tc>
          <w:tcPr>
            <w:tcW w:w="713"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962 415,76</w:t>
            </w:r>
          </w:p>
        </w:tc>
        <w:tc>
          <w:tcPr>
            <w:tcW w:w="713"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715 200,23</w:t>
            </w:r>
          </w:p>
        </w:tc>
        <w:tc>
          <w:tcPr>
            <w:tcW w:w="732"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935 493,83</w:t>
            </w:r>
          </w:p>
        </w:tc>
        <w:tc>
          <w:tcPr>
            <w:tcW w:w="732"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846 575,51</w:t>
            </w:r>
          </w:p>
        </w:tc>
      </w:tr>
      <w:tr w:rsidR="001512FC" w:rsidRPr="00BD17D6" w:rsidTr="003E6B74">
        <w:trPr>
          <w:trHeight w:val="330"/>
        </w:trPr>
        <w:tc>
          <w:tcPr>
            <w:tcW w:w="2110" w:type="pct"/>
            <w:tcBorders>
              <w:top w:val="nil"/>
              <w:left w:val="single" w:sz="4" w:space="0" w:color="auto"/>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ZYSK BRUTTO</w:t>
            </w:r>
          </w:p>
        </w:tc>
        <w:tc>
          <w:tcPr>
            <w:tcW w:w="713"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927 862,69</w:t>
            </w:r>
          </w:p>
        </w:tc>
        <w:tc>
          <w:tcPr>
            <w:tcW w:w="713"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895 602,07</w:t>
            </w:r>
          </w:p>
        </w:tc>
        <w:tc>
          <w:tcPr>
            <w:tcW w:w="732"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947 531,10</w:t>
            </w:r>
          </w:p>
        </w:tc>
        <w:tc>
          <w:tcPr>
            <w:tcW w:w="732"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901 002,15</w:t>
            </w:r>
          </w:p>
        </w:tc>
      </w:tr>
      <w:tr w:rsidR="001512FC" w:rsidRPr="00BD17D6" w:rsidTr="003E6B74">
        <w:trPr>
          <w:trHeight w:val="330"/>
        </w:trPr>
        <w:tc>
          <w:tcPr>
            <w:tcW w:w="2110" w:type="pct"/>
            <w:tcBorders>
              <w:top w:val="nil"/>
              <w:left w:val="single" w:sz="4" w:space="0" w:color="auto"/>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rPr>
                <w:rFonts w:asciiTheme="minorHAnsi" w:eastAsia="Times New Roman" w:hAnsiTheme="minorHAnsi" w:cs="Arial CE"/>
                <w:lang w:eastAsia="pl-PL"/>
              </w:rPr>
            </w:pPr>
            <w:r w:rsidRPr="00BD17D6">
              <w:rPr>
                <w:rFonts w:asciiTheme="minorHAnsi" w:eastAsia="Times New Roman" w:hAnsiTheme="minorHAnsi" w:cs="Arial CE"/>
                <w:lang w:eastAsia="pl-PL"/>
              </w:rPr>
              <w:t>ZYSK NETTO</w:t>
            </w:r>
          </w:p>
        </w:tc>
        <w:tc>
          <w:tcPr>
            <w:tcW w:w="713"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lang w:eastAsia="pl-PL"/>
              </w:rPr>
            </w:pPr>
            <w:r w:rsidRPr="00BD17D6">
              <w:rPr>
                <w:rFonts w:asciiTheme="minorHAnsi" w:eastAsia="Times New Roman" w:hAnsiTheme="minorHAnsi" w:cs="Arial CE"/>
                <w:lang w:eastAsia="pl-PL"/>
              </w:rPr>
              <w:t>771 252,69</w:t>
            </w:r>
          </w:p>
        </w:tc>
        <w:tc>
          <w:tcPr>
            <w:tcW w:w="713"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lang w:eastAsia="pl-PL"/>
              </w:rPr>
            </w:pPr>
            <w:r w:rsidRPr="00BD17D6">
              <w:rPr>
                <w:rFonts w:asciiTheme="minorHAnsi" w:eastAsia="Times New Roman" w:hAnsiTheme="minorHAnsi" w:cs="Arial CE"/>
                <w:lang w:eastAsia="pl-PL"/>
              </w:rPr>
              <w:t>673 746,07</w:t>
            </w:r>
          </w:p>
        </w:tc>
        <w:tc>
          <w:tcPr>
            <w:tcW w:w="732"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lang w:eastAsia="pl-PL"/>
              </w:rPr>
            </w:pPr>
            <w:r w:rsidRPr="00BD17D6">
              <w:rPr>
                <w:rFonts w:asciiTheme="minorHAnsi" w:eastAsia="Times New Roman" w:hAnsiTheme="minorHAnsi" w:cs="Arial CE"/>
                <w:lang w:eastAsia="pl-PL"/>
              </w:rPr>
              <w:t>676 608,10</w:t>
            </w:r>
          </w:p>
        </w:tc>
        <w:tc>
          <w:tcPr>
            <w:tcW w:w="732"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lang w:eastAsia="pl-PL"/>
              </w:rPr>
            </w:pPr>
            <w:r w:rsidRPr="00BD17D6">
              <w:rPr>
                <w:rFonts w:asciiTheme="minorHAnsi" w:eastAsia="Times New Roman" w:hAnsiTheme="minorHAnsi" w:cs="Arial CE"/>
                <w:lang w:eastAsia="pl-PL"/>
              </w:rPr>
              <w:t>709 705,15</w:t>
            </w:r>
          </w:p>
        </w:tc>
      </w:tr>
    </w:tbl>
    <w:p w:rsidR="001512FC" w:rsidRPr="001958EC" w:rsidRDefault="001512FC" w:rsidP="001512FC">
      <w:pPr>
        <w:pStyle w:val="Bezodstpw"/>
        <w:rPr>
          <w:rFonts w:asciiTheme="minorHAnsi" w:hAnsiTheme="minorHAnsi"/>
          <w:sz w:val="16"/>
        </w:rPr>
      </w:pPr>
    </w:p>
    <w:p w:rsidR="001512FC" w:rsidRPr="00BD17D6" w:rsidRDefault="001512FC" w:rsidP="001512FC">
      <w:pPr>
        <w:pStyle w:val="Bezodstpw"/>
        <w:rPr>
          <w:rFonts w:asciiTheme="minorHAnsi" w:hAnsiTheme="minorHAnsi"/>
          <w:b/>
          <w:sz w:val="24"/>
        </w:rPr>
      </w:pPr>
      <w:r w:rsidRPr="00BD17D6">
        <w:rPr>
          <w:rFonts w:asciiTheme="minorHAnsi" w:hAnsiTheme="minorHAnsi"/>
          <w:b/>
          <w:sz w:val="24"/>
        </w:rPr>
        <w:t>Kapitał</w:t>
      </w:r>
    </w:p>
    <w:p w:rsidR="001512FC" w:rsidRPr="00BD17D6" w:rsidRDefault="001512FC" w:rsidP="001512FC">
      <w:pPr>
        <w:pStyle w:val="Bezodstpw"/>
        <w:rPr>
          <w:rFonts w:asciiTheme="minorHAnsi" w:hAnsiTheme="minorHAnsi"/>
          <w:b/>
          <w:sz w:val="12"/>
        </w:rPr>
      </w:pPr>
    </w:p>
    <w:p w:rsidR="001512FC" w:rsidRPr="00BD17D6" w:rsidRDefault="001512FC" w:rsidP="001512FC">
      <w:pPr>
        <w:pStyle w:val="Bezodstpw"/>
        <w:jc w:val="both"/>
        <w:rPr>
          <w:rFonts w:asciiTheme="minorHAnsi" w:hAnsiTheme="minorHAnsi"/>
          <w:sz w:val="24"/>
        </w:rPr>
      </w:pPr>
      <w:r w:rsidRPr="00BD17D6">
        <w:rPr>
          <w:rFonts w:asciiTheme="minorHAnsi" w:hAnsiTheme="minorHAnsi"/>
          <w:sz w:val="24"/>
        </w:rPr>
        <w:t>Kapitał podstawowy oraz rezerwowy Spółki nie uległy zmianie w stosunku do roku 2013 r. Kapitał podstawowy dzieli się na 30 809 udziałów o wartości nominalnej 200 zł każdy. Właścicielem wszystkich udziałów jest Miasto Sieradz. Zmiany w kapitale rezerwowym są rezultatem podziału zysku za rok 2013 i przeznaczeniem 276 608,10 zł na jego zwiększenie.</w:t>
      </w:r>
    </w:p>
    <w:p w:rsidR="001512FC" w:rsidRPr="00BD17D6" w:rsidRDefault="001512FC" w:rsidP="001512FC">
      <w:pPr>
        <w:pStyle w:val="Bezodstpw"/>
        <w:jc w:val="both"/>
        <w:rPr>
          <w:rFonts w:asciiTheme="minorHAnsi" w:hAnsiTheme="minorHAnsi"/>
          <w:sz w:val="14"/>
        </w:rPr>
      </w:pPr>
    </w:p>
    <w:tbl>
      <w:tblPr>
        <w:tblW w:w="4962" w:type="pct"/>
        <w:tblInd w:w="70" w:type="dxa"/>
        <w:tblCellMar>
          <w:left w:w="70" w:type="dxa"/>
          <w:right w:w="70" w:type="dxa"/>
        </w:tblCellMar>
        <w:tblLook w:val="04A0" w:firstRow="1" w:lastRow="0" w:firstColumn="1" w:lastColumn="0" w:noHBand="0" w:noVBand="1"/>
      </w:tblPr>
      <w:tblGrid>
        <w:gridCol w:w="3858"/>
        <w:gridCol w:w="1304"/>
        <w:gridCol w:w="1304"/>
        <w:gridCol w:w="1338"/>
        <w:gridCol w:w="1338"/>
      </w:tblGrid>
      <w:tr w:rsidR="001512FC" w:rsidRPr="00BD17D6" w:rsidTr="00644E9A">
        <w:trPr>
          <w:trHeight w:val="330"/>
        </w:trPr>
        <w:tc>
          <w:tcPr>
            <w:tcW w:w="2110" w:type="pct"/>
            <w:tcBorders>
              <w:top w:val="single" w:sz="4" w:space="0" w:color="auto"/>
              <w:left w:val="single" w:sz="4" w:space="0" w:color="auto"/>
              <w:bottom w:val="nil"/>
              <w:right w:val="single" w:sz="4" w:space="0" w:color="auto"/>
            </w:tcBorders>
            <w:shd w:val="clear" w:color="000000" w:fill="C0C0C0"/>
            <w:noWrap/>
            <w:vAlign w:val="center"/>
            <w:hideMark/>
          </w:tcPr>
          <w:p w:rsidR="001512FC" w:rsidRPr="00BD17D6" w:rsidRDefault="001512FC" w:rsidP="00644E9A">
            <w:pPr>
              <w:spacing w:after="0" w:line="240" w:lineRule="auto"/>
              <w:jc w:val="center"/>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Treść</w:t>
            </w:r>
          </w:p>
        </w:tc>
        <w:tc>
          <w:tcPr>
            <w:tcW w:w="713" w:type="pct"/>
            <w:tcBorders>
              <w:top w:val="single" w:sz="4" w:space="0" w:color="auto"/>
              <w:left w:val="nil"/>
              <w:bottom w:val="single" w:sz="4" w:space="0" w:color="auto"/>
              <w:right w:val="single" w:sz="4" w:space="0" w:color="auto"/>
            </w:tcBorders>
            <w:shd w:val="clear" w:color="000000" w:fill="C0C0C0"/>
            <w:noWrap/>
            <w:vAlign w:val="center"/>
            <w:hideMark/>
          </w:tcPr>
          <w:p w:rsidR="001512FC" w:rsidRPr="00BD17D6" w:rsidRDefault="001512FC" w:rsidP="00644E9A">
            <w:pPr>
              <w:spacing w:after="0" w:line="240" w:lineRule="auto"/>
              <w:jc w:val="center"/>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2011</w:t>
            </w:r>
          </w:p>
        </w:tc>
        <w:tc>
          <w:tcPr>
            <w:tcW w:w="713" w:type="pct"/>
            <w:tcBorders>
              <w:top w:val="single" w:sz="4" w:space="0" w:color="auto"/>
              <w:left w:val="nil"/>
              <w:bottom w:val="single" w:sz="4" w:space="0" w:color="auto"/>
              <w:right w:val="single" w:sz="4" w:space="0" w:color="auto"/>
            </w:tcBorders>
            <w:shd w:val="clear" w:color="000000" w:fill="C0C0C0"/>
            <w:noWrap/>
            <w:vAlign w:val="center"/>
            <w:hideMark/>
          </w:tcPr>
          <w:p w:rsidR="001512FC" w:rsidRPr="00BD17D6" w:rsidRDefault="001512FC" w:rsidP="00644E9A">
            <w:pPr>
              <w:spacing w:after="0" w:line="240" w:lineRule="auto"/>
              <w:jc w:val="center"/>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2012</w:t>
            </w:r>
          </w:p>
        </w:tc>
        <w:tc>
          <w:tcPr>
            <w:tcW w:w="732" w:type="pct"/>
            <w:tcBorders>
              <w:top w:val="single" w:sz="4" w:space="0" w:color="auto"/>
              <w:left w:val="nil"/>
              <w:bottom w:val="single" w:sz="4" w:space="0" w:color="auto"/>
              <w:right w:val="single" w:sz="4" w:space="0" w:color="auto"/>
            </w:tcBorders>
            <w:shd w:val="clear" w:color="000000" w:fill="C0C0C0"/>
            <w:noWrap/>
            <w:vAlign w:val="center"/>
            <w:hideMark/>
          </w:tcPr>
          <w:p w:rsidR="001512FC" w:rsidRPr="00BD17D6" w:rsidRDefault="001512FC" w:rsidP="00644E9A">
            <w:pPr>
              <w:spacing w:after="0" w:line="240" w:lineRule="auto"/>
              <w:jc w:val="center"/>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2013</w:t>
            </w:r>
          </w:p>
        </w:tc>
        <w:tc>
          <w:tcPr>
            <w:tcW w:w="732" w:type="pct"/>
            <w:tcBorders>
              <w:top w:val="single" w:sz="4" w:space="0" w:color="auto"/>
              <w:left w:val="nil"/>
              <w:bottom w:val="single" w:sz="4" w:space="0" w:color="auto"/>
              <w:right w:val="single" w:sz="4" w:space="0" w:color="auto"/>
            </w:tcBorders>
            <w:shd w:val="clear" w:color="000000" w:fill="C0C0C0"/>
            <w:noWrap/>
            <w:vAlign w:val="center"/>
            <w:hideMark/>
          </w:tcPr>
          <w:p w:rsidR="001512FC" w:rsidRPr="00BD17D6" w:rsidRDefault="001512FC" w:rsidP="00644E9A">
            <w:pPr>
              <w:spacing w:after="0" w:line="240" w:lineRule="auto"/>
              <w:jc w:val="center"/>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2014</w:t>
            </w:r>
          </w:p>
        </w:tc>
      </w:tr>
      <w:tr w:rsidR="001512FC" w:rsidRPr="00BD17D6" w:rsidTr="003E6B74">
        <w:trPr>
          <w:trHeight w:val="330"/>
        </w:trPr>
        <w:tc>
          <w:tcPr>
            <w:tcW w:w="21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KAPITAŁ PODSTAWOWY</w:t>
            </w:r>
          </w:p>
        </w:tc>
        <w:tc>
          <w:tcPr>
            <w:tcW w:w="713"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6 161 800,00</w:t>
            </w:r>
          </w:p>
        </w:tc>
        <w:tc>
          <w:tcPr>
            <w:tcW w:w="713"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6 161 800,00</w:t>
            </w:r>
          </w:p>
        </w:tc>
        <w:tc>
          <w:tcPr>
            <w:tcW w:w="732"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6 161 800,00</w:t>
            </w:r>
          </w:p>
        </w:tc>
        <w:tc>
          <w:tcPr>
            <w:tcW w:w="732"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b/>
                <w:bCs/>
                <w:sz w:val="20"/>
                <w:szCs w:val="20"/>
                <w:lang w:eastAsia="pl-PL"/>
              </w:rPr>
            </w:pPr>
            <w:r w:rsidRPr="00BD17D6">
              <w:rPr>
                <w:rFonts w:asciiTheme="minorHAnsi" w:eastAsia="Times New Roman" w:hAnsiTheme="minorHAnsi" w:cs="Arial CE"/>
                <w:b/>
                <w:bCs/>
                <w:sz w:val="20"/>
                <w:szCs w:val="20"/>
                <w:lang w:eastAsia="pl-PL"/>
              </w:rPr>
              <w:t>6 161 800,00</w:t>
            </w:r>
          </w:p>
        </w:tc>
      </w:tr>
      <w:tr w:rsidR="001512FC" w:rsidRPr="00BD17D6" w:rsidTr="003E6B74">
        <w:trPr>
          <w:trHeight w:val="330"/>
        </w:trPr>
        <w:tc>
          <w:tcPr>
            <w:tcW w:w="2110" w:type="pct"/>
            <w:tcBorders>
              <w:top w:val="nil"/>
              <w:left w:val="single" w:sz="4" w:space="0" w:color="auto"/>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KAPITAŁ ZAPASOWY</w:t>
            </w:r>
          </w:p>
        </w:tc>
        <w:tc>
          <w:tcPr>
            <w:tcW w:w="713"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9 521 478,18</w:t>
            </w:r>
          </w:p>
        </w:tc>
        <w:tc>
          <w:tcPr>
            <w:tcW w:w="713"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9 521 478,18</w:t>
            </w:r>
          </w:p>
        </w:tc>
        <w:tc>
          <w:tcPr>
            <w:tcW w:w="732"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9 521 478,18</w:t>
            </w:r>
          </w:p>
        </w:tc>
        <w:tc>
          <w:tcPr>
            <w:tcW w:w="732"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9 521 478,18</w:t>
            </w:r>
          </w:p>
        </w:tc>
      </w:tr>
      <w:tr w:rsidR="001512FC" w:rsidRPr="00BD17D6" w:rsidTr="003E6B74">
        <w:trPr>
          <w:trHeight w:val="330"/>
        </w:trPr>
        <w:tc>
          <w:tcPr>
            <w:tcW w:w="2110" w:type="pct"/>
            <w:tcBorders>
              <w:top w:val="nil"/>
              <w:left w:val="single" w:sz="4" w:space="0" w:color="auto"/>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KAPITAŁ REZERWOWY</w:t>
            </w:r>
          </w:p>
        </w:tc>
        <w:tc>
          <w:tcPr>
            <w:tcW w:w="713"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1 546 753,22</w:t>
            </w:r>
          </w:p>
        </w:tc>
        <w:tc>
          <w:tcPr>
            <w:tcW w:w="713"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1 918 005,91</w:t>
            </w:r>
          </w:p>
        </w:tc>
        <w:tc>
          <w:tcPr>
            <w:tcW w:w="732"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2 118 005,91</w:t>
            </w:r>
          </w:p>
        </w:tc>
        <w:tc>
          <w:tcPr>
            <w:tcW w:w="732" w:type="pct"/>
            <w:tcBorders>
              <w:top w:val="nil"/>
              <w:left w:val="nil"/>
              <w:bottom w:val="single" w:sz="4" w:space="0" w:color="auto"/>
              <w:right w:val="single" w:sz="4" w:space="0" w:color="auto"/>
            </w:tcBorders>
            <w:shd w:val="clear" w:color="auto" w:fill="auto"/>
            <w:noWrap/>
            <w:vAlign w:val="center"/>
            <w:hideMark/>
          </w:tcPr>
          <w:p w:rsidR="001512FC" w:rsidRPr="00BD17D6" w:rsidRDefault="001512FC" w:rsidP="003E6B74">
            <w:pPr>
              <w:spacing w:after="0" w:line="240" w:lineRule="auto"/>
              <w:jc w:val="right"/>
              <w:rPr>
                <w:rFonts w:asciiTheme="minorHAnsi" w:eastAsia="Times New Roman" w:hAnsiTheme="minorHAnsi" w:cs="Arial CE"/>
                <w:sz w:val="20"/>
                <w:szCs w:val="20"/>
                <w:lang w:eastAsia="pl-PL"/>
              </w:rPr>
            </w:pPr>
            <w:r w:rsidRPr="00BD17D6">
              <w:rPr>
                <w:rFonts w:asciiTheme="minorHAnsi" w:eastAsia="Times New Roman" w:hAnsiTheme="minorHAnsi" w:cs="Arial CE"/>
                <w:sz w:val="20"/>
                <w:szCs w:val="20"/>
                <w:lang w:eastAsia="pl-PL"/>
              </w:rPr>
              <w:t>2 394 614,01</w:t>
            </w:r>
          </w:p>
        </w:tc>
      </w:tr>
    </w:tbl>
    <w:p w:rsidR="00286308" w:rsidRPr="001958EC" w:rsidRDefault="00286308" w:rsidP="00286308">
      <w:pPr>
        <w:pStyle w:val="Bezodstpw"/>
        <w:rPr>
          <w:rFonts w:asciiTheme="minorHAnsi" w:hAnsiTheme="minorHAnsi"/>
          <w:b/>
          <w:sz w:val="16"/>
        </w:rPr>
      </w:pPr>
    </w:p>
    <w:p w:rsidR="00286308" w:rsidRPr="00BD17D6" w:rsidRDefault="00286308" w:rsidP="00286308">
      <w:pPr>
        <w:pStyle w:val="Bezodstpw"/>
        <w:rPr>
          <w:rFonts w:asciiTheme="minorHAnsi" w:hAnsiTheme="minorHAnsi"/>
          <w:b/>
          <w:sz w:val="24"/>
        </w:rPr>
      </w:pPr>
      <w:r w:rsidRPr="00FA4494">
        <w:rPr>
          <w:rFonts w:asciiTheme="minorHAnsi" w:hAnsiTheme="minorHAnsi"/>
          <w:b/>
          <w:sz w:val="24"/>
        </w:rPr>
        <w:t>Podsumowanie</w:t>
      </w:r>
    </w:p>
    <w:p w:rsidR="00286308" w:rsidRPr="00BD17D6" w:rsidRDefault="00286308" w:rsidP="00286308">
      <w:pPr>
        <w:pStyle w:val="Bezodstpw"/>
        <w:rPr>
          <w:rFonts w:asciiTheme="minorHAnsi" w:hAnsiTheme="minorHAnsi"/>
          <w:b/>
          <w:sz w:val="10"/>
        </w:rPr>
      </w:pPr>
    </w:p>
    <w:p w:rsidR="000949B7" w:rsidRPr="00BD17D6" w:rsidRDefault="008A1A77" w:rsidP="008A1A77">
      <w:pPr>
        <w:pStyle w:val="Bezodstpw"/>
        <w:jc w:val="both"/>
        <w:rPr>
          <w:rFonts w:asciiTheme="minorHAnsi" w:hAnsiTheme="minorHAnsi"/>
          <w:sz w:val="24"/>
          <w:szCs w:val="24"/>
        </w:rPr>
      </w:pPr>
      <w:r w:rsidRPr="00BD17D6">
        <w:rPr>
          <w:rFonts w:asciiTheme="minorHAnsi" w:hAnsiTheme="minorHAnsi"/>
          <w:sz w:val="24"/>
          <w:szCs w:val="24"/>
        </w:rPr>
        <w:t xml:space="preserve">Zgromadzenie Wspólników zatwierdziło sprawozdania finansowe Spółki oraz udzieliło absolutorium Zarządowi </w:t>
      </w:r>
      <w:r w:rsidR="000949B7" w:rsidRPr="00BD17D6">
        <w:rPr>
          <w:rFonts w:asciiTheme="minorHAnsi" w:hAnsiTheme="minorHAnsi"/>
          <w:sz w:val="24"/>
          <w:szCs w:val="24"/>
        </w:rPr>
        <w:t xml:space="preserve">Spółki </w:t>
      </w:r>
      <w:r w:rsidRPr="00BD17D6">
        <w:rPr>
          <w:rFonts w:asciiTheme="minorHAnsi" w:hAnsiTheme="minorHAnsi"/>
          <w:sz w:val="24"/>
          <w:szCs w:val="24"/>
        </w:rPr>
        <w:t xml:space="preserve">i Radzie Nadzorczej. Podjęto także uchwałę </w:t>
      </w:r>
      <w:r w:rsidR="000949B7" w:rsidRPr="00BD17D6">
        <w:rPr>
          <w:rFonts w:asciiTheme="minorHAnsi" w:hAnsiTheme="minorHAnsi"/>
          <w:sz w:val="24"/>
          <w:szCs w:val="24"/>
        </w:rPr>
        <w:t>zatwierdzającą</w:t>
      </w:r>
      <w:r w:rsidRPr="00BD17D6">
        <w:rPr>
          <w:rFonts w:asciiTheme="minorHAnsi" w:hAnsiTheme="minorHAnsi"/>
          <w:sz w:val="24"/>
          <w:szCs w:val="24"/>
        </w:rPr>
        <w:t xml:space="preserve"> podzia</w:t>
      </w:r>
      <w:r w:rsidR="000949B7" w:rsidRPr="00BD17D6">
        <w:rPr>
          <w:rFonts w:asciiTheme="minorHAnsi" w:hAnsiTheme="minorHAnsi"/>
          <w:sz w:val="24"/>
          <w:szCs w:val="24"/>
        </w:rPr>
        <w:t>ł</w:t>
      </w:r>
      <w:r w:rsidR="00FA4494">
        <w:rPr>
          <w:rFonts w:asciiTheme="minorHAnsi" w:hAnsiTheme="minorHAnsi"/>
          <w:sz w:val="24"/>
          <w:szCs w:val="24"/>
        </w:rPr>
        <w:t xml:space="preserve"> zysku za rok 2014. Zysk w wysokości 709 705,15 zł został podzielony następująco:</w:t>
      </w:r>
      <w:r w:rsidRPr="00BD17D6">
        <w:rPr>
          <w:rFonts w:asciiTheme="minorHAnsi" w:hAnsiTheme="minorHAnsi"/>
          <w:sz w:val="24"/>
          <w:szCs w:val="24"/>
        </w:rPr>
        <w:t xml:space="preserve"> </w:t>
      </w:r>
    </w:p>
    <w:p w:rsidR="000949B7" w:rsidRPr="00BD17D6" w:rsidRDefault="000949B7" w:rsidP="00AB4510">
      <w:pPr>
        <w:pStyle w:val="Bezodstpw"/>
        <w:numPr>
          <w:ilvl w:val="0"/>
          <w:numId w:val="7"/>
        </w:numPr>
        <w:jc w:val="both"/>
        <w:rPr>
          <w:rFonts w:asciiTheme="minorHAnsi" w:hAnsiTheme="minorHAnsi"/>
          <w:sz w:val="24"/>
          <w:szCs w:val="24"/>
        </w:rPr>
      </w:pPr>
      <w:r w:rsidRPr="00BD17D6">
        <w:rPr>
          <w:rFonts w:asciiTheme="minorHAnsi" w:hAnsiTheme="minorHAnsi"/>
          <w:sz w:val="24"/>
          <w:szCs w:val="24"/>
        </w:rPr>
        <w:t>dywid</w:t>
      </w:r>
      <w:r w:rsidR="00FA4494">
        <w:rPr>
          <w:rFonts w:asciiTheme="minorHAnsi" w:hAnsiTheme="minorHAnsi"/>
          <w:sz w:val="24"/>
          <w:szCs w:val="24"/>
        </w:rPr>
        <w:t xml:space="preserve">enda dla </w:t>
      </w:r>
      <w:r w:rsidR="004D0DA4">
        <w:rPr>
          <w:rFonts w:asciiTheme="minorHAnsi" w:hAnsiTheme="minorHAnsi"/>
          <w:sz w:val="24"/>
          <w:szCs w:val="24"/>
        </w:rPr>
        <w:t>właściciela - 170 000,00 zł</w:t>
      </w:r>
      <w:r w:rsidR="00AB4510">
        <w:rPr>
          <w:rFonts w:asciiTheme="minorHAnsi" w:hAnsiTheme="minorHAnsi"/>
          <w:sz w:val="24"/>
          <w:szCs w:val="24"/>
        </w:rPr>
        <w:t>,</w:t>
      </w:r>
    </w:p>
    <w:p w:rsidR="000949B7" w:rsidRPr="00BD17D6" w:rsidRDefault="000949B7" w:rsidP="00AB4510">
      <w:pPr>
        <w:pStyle w:val="Bezodstpw"/>
        <w:numPr>
          <w:ilvl w:val="0"/>
          <w:numId w:val="7"/>
        </w:numPr>
        <w:jc w:val="both"/>
        <w:rPr>
          <w:rFonts w:asciiTheme="minorHAnsi" w:hAnsiTheme="minorHAnsi"/>
          <w:sz w:val="24"/>
          <w:szCs w:val="24"/>
        </w:rPr>
      </w:pPr>
      <w:r w:rsidRPr="00BD17D6">
        <w:rPr>
          <w:rFonts w:asciiTheme="minorHAnsi" w:hAnsiTheme="minorHAnsi"/>
          <w:sz w:val="24"/>
          <w:szCs w:val="24"/>
        </w:rPr>
        <w:t xml:space="preserve">kapitał </w:t>
      </w:r>
      <w:r w:rsidR="004D0DA4" w:rsidRPr="00BD17D6">
        <w:rPr>
          <w:rFonts w:asciiTheme="minorHAnsi" w:hAnsiTheme="minorHAnsi"/>
          <w:sz w:val="24"/>
          <w:szCs w:val="24"/>
        </w:rPr>
        <w:t>rezerwowy - 339 705,15 zł</w:t>
      </w:r>
      <w:r w:rsidR="00AB4510">
        <w:rPr>
          <w:rFonts w:asciiTheme="minorHAnsi" w:hAnsiTheme="minorHAnsi"/>
          <w:sz w:val="24"/>
          <w:szCs w:val="24"/>
        </w:rPr>
        <w:t>,</w:t>
      </w:r>
    </w:p>
    <w:p w:rsidR="008A1A77" w:rsidRPr="00BD17D6" w:rsidRDefault="000949B7" w:rsidP="00AB4510">
      <w:pPr>
        <w:pStyle w:val="Bezodstpw"/>
        <w:numPr>
          <w:ilvl w:val="0"/>
          <w:numId w:val="7"/>
        </w:numPr>
        <w:jc w:val="both"/>
        <w:rPr>
          <w:rFonts w:asciiTheme="minorHAnsi" w:hAnsiTheme="minorHAnsi"/>
          <w:sz w:val="24"/>
          <w:szCs w:val="24"/>
        </w:rPr>
      </w:pPr>
      <w:r w:rsidRPr="00BD17D6">
        <w:rPr>
          <w:rFonts w:asciiTheme="minorHAnsi" w:hAnsiTheme="minorHAnsi"/>
          <w:sz w:val="24"/>
          <w:szCs w:val="24"/>
        </w:rPr>
        <w:t xml:space="preserve">nagrody </w:t>
      </w:r>
      <w:r w:rsidR="004D0DA4" w:rsidRPr="00BD17D6">
        <w:rPr>
          <w:rFonts w:asciiTheme="minorHAnsi" w:hAnsiTheme="minorHAnsi"/>
          <w:sz w:val="24"/>
          <w:szCs w:val="24"/>
        </w:rPr>
        <w:t>dla pracowników - 200 000,00 zł</w:t>
      </w:r>
      <w:r w:rsidR="00AB4510">
        <w:rPr>
          <w:rFonts w:asciiTheme="minorHAnsi" w:hAnsiTheme="minorHAnsi"/>
          <w:sz w:val="24"/>
          <w:szCs w:val="24"/>
        </w:rPr>
        <w:t>.</w:t>
      </w:r>
    </w:p>
    <w:p w:rsidR="00643247" w:rsidRPr="00BD17D6" w:rsidRDefault="00643247" w:rsidP="008A1A77">
      <w:pPr>
        <w:pStyle w:val="Bezodstpw"/>
        <w:jc w:val="both"/>
        <w:rPr>
          <w:rFonts w:asciiTheme="minorHAnsi" w:hAnsiTheme="minorHAnsi"/>
          <w:sz w:val="24"/>
          <w:szCs w:val="24"/>
        </w:rPr>
      </w:pPr>
    </w:p>
    <w:p w:rsidR="00C45DC2" w:rsidRPr="00BD17D6" w:rsidRDefault="0026298E" w:rsidP="00C03091">
      <w:pPr>
        <w:pStyle w:val="Bezodstpw"/>
        <w:rPr>
          <w:rFonts w:asciiTheme="minorHAnsi" w:hAnsiTheme="minorHAnsi"/>
          <w:b/>
          <w:i/>
          <w:sz w:val="28"/>
          <w:szCs w:val="28"/>
          <w:u w:val="single"/>
        </w:rPr>
      </w:pPr>
      <w:r w:rsidRPr="00BD17D6">
        <w:rPr>
          <w:rFonts w:asciiTheme="minorHAnsi" w:hAnsiTheme="minorHAnsi"/>
          <w:b/>
          <w:i/>
          <w:sz w:val="28"/>
          <w:szCs w:val="28"/>
          <w:u w:val="single"/>
        </w:rPr>
        <w:t>Miejskie Przedsiębiorstwo</w:t>
      </w:r>
      <w:r w:rsidR="00C45DC2" w:rsidRPr="00BD17D6">
        <w:rPr>
          <w:rFonts w:asciiTheme="minorHAnsi" w:hAnsiTheme="minorHAnsi"/>
          <w:b/>
          <w:i/>
          <w:sz w:val="28"/>
          <w:szCs w:val="28"/>
          <w:u w:val="single"/>
        </w:rPr>
        <w:t xml:space="preserve"> Komunikacji</w:t>
      </w:r>
      <w:r w:rsidR="00C03091" w:rsidRPr="00BD17D6">
        <w:rPr>
          <w:rFonts w:asciiTheme="minorHAnsi" w:hAnsiTheme="minorHAnsi"/>
          <w:b/>
          <w:i/>
          <w:sz w:val="28"/>
          <w:szCs w:val="28"/>
          <w:u w:val="single"/>
        </w:rPr>
        <w:t xml:space="preserve"> </w:t>
      </w:r>
      <w:r w:rsidR="00C45DC2" w:rsidRPr="00BD17D6">
        <w:rPr>
          <w:rFonts w:asciiTheme="minorHAnsi" w:hAnsiTheme="minorHAnsi"/>
          <w:b/>
          <w:i/>
          <w:sz w:val="28"/>
          <w:szCs w:val="28"/>
          <w:u w:val="single"/>
        </w:rPr>
        <w:t xml:space="preserve">Spółka z o.o. w Sieradzu </w:t>
      </w:r>
    </w:p>
    <w:p w:rsidR="00C03091" w:rsidRPr="00337628" w:rsidRDefault="00C03091" w:rsidP="00C03091">
      <w:pPr>
        <w:pStyle w:val="Bezodstpw"/>
        <w:rPr>
          <w:rFonts w:asciiTheme="minorHAnsi" w:hAnsiTheme="minorHAnsi"/>
          <w:b/>
          <w:sz w:val="28"/>
          <w:szCs w:val="26"/>
          <w:u w:val="single"/>
        </w:rPr>
      </w:pPr>
    </w:p>
    <w:p w:rsidR="007604AD" w:rsidRPr="00BD17D6" w:rsidRDefault="007604AD" w:rsidP="007604AD">
      <w:pPr>
        <w:spacing w:after="0" w:line="240" w:lineRule="auto"/>
        <w:rPr>
          <w:rFonts w:asciiTheme="minorHAnsi" w:hAnsiTheme="minorHAnsi"/>
          <w:b/>
          <w:sz w:val="24"/>
        </w:rPr>
      </w:pPr>
      <w:r w:rsidRPr="00BD17D6">
        <w:rPr>
          <w:rFonts w:asciiTheme="minorHAnsi" w:hAnsiTheme="minorHAnsi"/>
          <w:b/>
          <w:sz w:val="24"/>
        </w:rPr>
        <w:t>Działalność Przedsiębiorstwa</w:t>
      </w:r>
    </w:p>
    <w:p w:rsidR="007604AD" w:rsidRPr="00BD17D6" w:rsidRDefault="007604AD" w:rsidP="007604AD">
      <w:pPr>
        <w:spacing w:after="0" w:line="240" w:lineRule="auto"/>
        <w:jc w:val="both"/>
        <w:rPr>
          <w:rFonts w:asciiTheme="minorHAnsi" w:hAnsiTheme="minorHAnsi"/>
          <w:sz w:val="24"/>
        </w:rPr>
      </w:pPr>
      <w:r w:rsidRPr="00BD17D6">
        <w:rPr>
          <w:rFonts w:asciiTheme="minorHAnsi" w:hAnsiTheme="minorHAnsi"/>
          <w:sz w:val="24"/>
        </w:rPr>
        <w:t>Miejskie Przedsiębiorstwo Komunikacji Spółka z o. o.,  jako operator lokalnego transportu zbiorowego, obsługiwało do 14 czerwca 2014 r. 12 linii autobusowych a od 15 czerwca 2014 r. 13 linii autobusowych, w tym: dwie międzymiastowe, pięć podmiejskich i sześć miejskich. Do tego celu Przedsiębiorstwo dysponowało 24 autobusami, w tym 11 przystosowanymi do potrzeb osób niepełnosprawnych. Łącznie w 2014 r. przewieziono nimi około 1 301 404 pasażerów – w poprzednim roku było to 1 335 009 pasażerów. W komunikacji regularnej wykonano pracę przewozową w ilości 880 919 wozokilometrów – wzrost w stosunku do roku poprzedniego o 55 983 wozokilometry. Główną przyczyną tego wzrostu było uruchomienie z</w:t>
      </w:r>
      <w:r w:rsidR="00AB4510">
        <w:rPr>
          <w:rFonts w:asciiTheme="minorHAnsi" w:hAnsiTheme="minorHAnsi"/>
          <w:sz w:val="24"/>
        </w:rPr>
        <w:t> </w:t>
      </w:r>
      <w:r w:rsidRPr="00BD17D6">
        <w:rPr>
          <w:rFonts w:asciiTheme="minorHAnsi" w:hAnsiTheme="minorHAnsi"/>
          <w:sz w:val="24"/>
        </w:rPr>
        <w:t>dniem 15 czerwca linii „R”, dokonane na wniosek organizatora transportu – Miasta Sieradza. Spółka odnotowała w 2014 r. spadek sprzedaży biletów, zarówno w ujęciu wartościowym jak i ilościowym. Wartość sprzedaży biletów wyniosła 1 630 338,00 zł – o</w:t>
      </w:r>
      <w:r w:rsidR="00AB4510">
        <w:rPr>
          <w:rFonts w:asciiTheme="minorHAnsi" w:hAnsiTheme="minorHAnsi"/>
          <w:sz w:val="24"/>
        </w:rPr>
        <w:t> </w:t>
      </w:r>
      <w:r w:rsidRPr="00BD17D6">
        <w:rPr>
          <w:rFonts w:asciiTheme="minorHAnsi" w:hAnsiTheme="minorHAnsi"/>
          <w:sz w:val="24"/>
        </w:rPr>
        <w:t xml:space="preserve">87 696,99 zł mniej niż w roku 2013. W ujęciu ilościowym ogólna liczba sprzedanych biletów spadła z 705 986 sztuk w roku ubiegłym, do 701 209 sztuk w 2014 r. </w:t>
      </w:r>
    </w:p>
    <w:p w:rsidR="007604AD" w:rsidRPr="00BD17D6" w:rsidRDefault="007604AD" w:rsidP="007604AD">
      <w:pPr>
        <w:spacing w:after="0" w:line="240" w:lineRule="auto"/>
        <w:jc w:val="both"/>
        <w:rPr>
          <w:rFonts w:asciiTheme="minorHAnsi" w:hAnsiTheme="minorHAnsi"/>
          <w:sz w:val="24"/>
        </w:rPr>
      </w:pPr>
      <w:r w:rsidRPr="00BD17D6">
        <w:rPr>
          <w:rFonts w:asciiTheme="minorHAnsi" w:hAnsiTheme="minorHAnsi"/>
          <w:sz w:val="24"/>
        </w:rPr>
        <w:t>Przedsiębiorstwo odnotowało także spadek przychodów w pozostałych rodzajach prowadzonej działalności: usługach diagnostycznych – przychody niższe o ponad 4%, najmie i</w:t>
      </w:r>
      <w:r w:rsidR="00AB4510">
        <w:rPr>
          <w:rFonts w:asciiTheme="minorHAnsi" w:hAnsiTheme="minorHAnsi"/>
          <w:sz w:val="24"/>
        </w:rPr>
        <w:t> </w:t>
      </w:r>
      <w:r w:rsidRPr="00BD17D6">
        <w:rPr>
          <w:rFonts w:asciiTheme="minorHAnsi" w:hAnsiTheme="minorHAnsi"/>
          <w:sz w:val="24"/>
        </w:rPr>
        <w:t>dzierżawie majątku – spadek o 5,35%, wynajmie autobusów – 4 448,58 zł mniej niż w roku ubiegłym oraz przychodach z reklam na autobusach - spadek o ponad 62%.</w:t>
      </w:r>
    </w:p>
    <w:p w:rsidR="007604AD" w:rsidRPr="00337628" w:rsidRDefault="007604AD" w:rsidP="007604AD">
      <w:pPr>
        <w:spacing w:after="0" w:line="240" w:lineRule="auto"/>
        <w:rPr>
          <w:rFonts w:asciiTheme="minorHAnsi" w:hAnsiTheme="minorHAnsi"/>
          <w:b/>
          <w:sz w:val="10"/>
        </w:rPr>
      </w:pPr>
    </w:p>
    <w:p w:rsidR="007604AD" w:rsidRPr="00BD17D6" w:rsidRDefault="007604AD" w:rsidP="007604AD">
      <w:pPr>
        <w:spacing w:after="0" w:line="240" w:lineRule="auto"/>
        <w:rPr>
          <w:rFonts w:asciiTheme="minorHAnsi" w:hAnsiTheme="minorHAnsi"/>
          <w:b/>
          <w:sz w:val="24"/>
        </w:rPr>
      </w:pPr>
      <w:r w:rsidRPr="00BD17D6">
        <w:rPr>
          <w:rFonts w:asciiTheme="minorHAnsi" w:hAnsiTheme="minorHAnsi"/>
          <w:b/>
          <w:sz w:val="24"/>
        </w:rPr>
        <w:t>Inwestycje i remonty</w:t>
      </w:r>
    </w:p>
    <w:p w:rsidR="007604AD" w:rsidRPr="00BD17D6" w:rsidRDefault="007604AD" w:rsidP="007604AD">
      <w:pPr>
        <w:spacing w:after="0" w:line="240" w:lineRule="auto"/>
        <w:jc w:val="both"/>
        <w:rPr>
          <w:rFonts w:asciiTheme="minorHAnsi" w:hAnsiTheme="minorHAnsi"/>
          <w:sz w:val="24"/>
        </w:rPr>
      </w:pPr>
      <w:r w:rsidRPr="00BD17D6">
        <w:rPr>
          <w:rFonts w:asciiTheme="minorHAnsi" w:hAnsiTheme="minorHAnsi"/>
          <w:sz w:val="24"/>
        </w:rPr>
        <w:t>Nakłady poniesione przez spółkę na niefinansowe aktywa trwałe wyniosły w 2014 r. 456 989,91 zł. Na kwotę tą składają się między innymi wydatki na: zakup 3 sztuk używanych autobusów o wartości 405 030,00 zł, zakup pojazdu typu Melex o wartości 26 203,75 zł. Oprócz tego spółka dokonała zakupu samochodu osobowego o wartości 9 500,00 zł, zmodernizowała oświetlenie na terenie zajezdni kosztem 8934,76 zł. Zamontowano także klimatyzację w pomieszczeniu socjalnym kierowców – kosztem 4625,40 zł oraz zakupiono kserokopiarkę o wartości 2696,00 zł</w:t>
      </w:r>
    </w:p>
    <w:p w:rsidR="00337628" w:rsidRPr="00337628" w:rsidRDefault="00337628" w:rsidP="007604AD">
      <w:pPr>
        <w:spacing w:after="0" w:line="240" w:lineRule="auto"/>
        <w:rPr>
          <w:rFonts w:asciiTheme="minorHAnsi" w:hAnsiTheme="minorHAnsi"/>
          <w:b/>
          <w:sz w:val="10"/>
        </w:rPr>
      </w:pPr>
    </w:p>
    <w:p w:rsidR="007604AD" w:rsidRPr="00BD17D6" w:rsidRDefault="007604AD" w:rsidP="007604AD">
      <w:pPr>
        <w:spacing w:after="0" w:line="240" w:lineRule="auto"/>
        <w:rPr>
          <w:rFonts w:asciiTheme="minorHAnsi" w:hAnsiTheme="minorHAnsi"/>
          <w:b/>
          <w:sz w:val="24"/>
        </w:rPr>
      </w:pPr>
      <w:r w:rsidRPr="00BD17D6">
        <w:rPr>
          <w:rFonts w:asciiTheme="minorHAnsi" w:hAnsiTheme="minorHAnsi"/>
          <w:b/>
          <w:sz w:val="24"/>
        </w:rPr>
        <w:t>Zatrudnienie</w:t>
      </w:r>
    </w:p>
    <w:p w:rsidR="007604AD" w:rsidRPr="00BD17D6" w:rsidRDefault="007604AD" w:rsidP="007604AD">
      <w:pPr>
        <w:spacing w:after="0" w:line="240" w:lineRule="auto"/>
        <w:jc w:val="both"/>
        <w:rPr>
          <w:rFonts w:asciiTheme="minorHAnsi" w:hAnsiTheme="minorHAnsi"/>
          <w:sz w:val="24"/>
        </w:rPr>
      </w:pPr>
      <w:r w:rsidRPr="00BD17D6">
        <w:rPr>
          <w:rFonts w:asciiTheme="minorHAnsi" w:hAnsiTheme="minorHAnsi"/>
          <w:sz w:val="24"/>
        </w:rPr>
        <w:t>Na koniec 2014 r. zatrudnienie w spółce wynosiło 58 osób - na koniec roku 2013 było to 55 osób. Przeciętne wynagrodzenie wyniosło w 2014 r. 2868,71 zł – w poprzednim roku było to 2 637,63 zł. Koszty działalności Zarządu w 2014 r. zamknęły się kwotą 166 494,97 zł – w</w:t>
      </w:r>
      <w:r w:rsidR="00AB4510">
        <w:rPr>
          <w:rFonts w:asciiTheme="minorHAnsi" w:hAnsiTheme="minorHAnsi"/>
          <w:sz w:val="24"/>
        </w:rPr>
        <w:t> </w:t>
      </w:r>
      <w:r w:rsidRPr="00BD17D6">
        <w:rPr>
          <w:rFonts w:asciiTheme="minorHAnsi" w:hAnsiTheme="minorHAnsi"/>
          <w:sz w:val="24"/>
        </w:rPr>
        <w:t xml:space="preserve">porównaniu do 164 109,22 zł w roku 2013. Natomiast koszty funkcjonowania Rady Nadzorczej wyniosły w 2014 r. 43 200 zł w 2013 r. było to 39 606,46 zł. </w:t>
      </w:r>
    </w:p>
    <w:p w:rsidR="00337628" w:rsidRPr="00337628" w:rsidRDefault="00337628" w:rsidP="007604AD">
      <w:pPr>
        <w:spacing w:after="0" w:line="240" w:lineRule="auto"/>
        <w:rPr>
          <w:rFonts w:asciiTheme="minorHAnsi" w:hAnsiTheme="minorHAnsi"/>
          <w:b/>
          <w:sz w:val="10"/>
        </w:rPr>
      </w:pPr>
    </w:p>
    <w:p w:rsidR="007604AD" w:rsidRPr="00BD17D6" w:rsidRDefault="007604AD" w:rsidP="007604AD">
      <w:pPr>
        <w:spacing w:after="0" w:line="240" w:lineRule="auto"/>
        <w:rPr>
          <w:rFonts w:asciiTheme="minorHAnsi" w:hAnsiTheme="minorHAnsi"/>
          <w:sz w:val="24"/>
        </w:rPr>
      </w:pPr>
      <w:r w:rsidRPr="00BD17D6">
        <w:rPr>
          <w:rFonts w:asciiTheme="minorHAnsi" w:hAnsiTheme="minorHAnsi"/>
          <w:b/>
          <w:sz w:val="24"/>
        </w:rPr>
        <w:t>Przychody</w:t>
      </w:r>
      <w:r w:rsidRPr="00BD17D6">
        <w:rPr>
          <w:rFonts w:asciiTheme="minorHAnsi" w:hAnsiTheme="minorHAnsi"/>
          <w:sz w:val="24"/>
        </w:rPr>
        <w:t xml:space="preserve"> </w:t>
      </w:r>
    </w:p>
    <w:p w:rsidR="007604AD" w:rsidRPr="00BD17D6" w:rsidRDefault="007604AD" w:rsidP="007604AD">
      <w:pPr>
        <w:spacing w:after="0" w:line="240" w:lineRule="auto"/>
        <w:jc w:val="both"/>
        <w:rPr>
          <w:rFonts w:asciiTheme="minorHAnsi" w:hAnsiTheme="minorHAnsi"/>
          <w:sz w:val="24"/>
        </w:rPr>
      </w:pPr>
      <w:r w:rsidRPr="00BD17D6">
        <w:rPr>
          <w:rFonts w:asciiTheme="minorHAnsi" w:hAnsiTheme="minorHAnsi"/>
          <w:sz w:val="24"/>
        </w:rPr>
        <w:t xml:space="preserve">Ubiegły rok był kolejnym, w którym spółka notuje spadek przychodów ze sprzedaży. Wzrost wartości pozostałych przychodów operacyjnych wynika ze zwiększenia kwoty rekompensaty, otrzymywanej z budżetu miasta. Kwota rekompensaty wypłacona w 2014 r. wyniosła 2 314 473,15 zł – w roku 2013 było to 1 854 316,75 zł. </w:t>
      </w:r>
    </w:p>
    <w:p w:rsidR="007604AD" w:rsidRPr="00BD17D6" w:rsidRDefault="007604AD" w:rsidP="007604AD">
      <w:pPr>
        <w:spacing w:after="0" w:line="240" w:lineRule="auto"/>
        <w:jc w:val="both"/>
        <w:rPr>
          <w:rFonts w:asciiTheme="minorHAnsi" w:hAnsiTheme="minorHAnsi"/>
          <w:sz w:val="12"/>
          <w:szCs w:val="10"/>
        </w:rPr>
      </w:pPr>
    </w:p>
    <w:tbl>
      <w:tblPr>
        <w:tblW w:w="5000" w:type="pct"/>
        <w:tblCellMar>
          <w:left w:w="70" w:type="dxa"/>
          <w:right w:w="70" w:type="dxa"/>
        </w:tblCellMar>
        <w:tblLook w:val="04A0" w:firstRow="1" w:lastRow="0" w:firstColumn="1" w:lastColumn="0" w:noHBand="0" w:noVBand="1"/>
      </w:tblPr>
      <w:tblGrid>
        <w:gridCol w:w="3928"/>
        <w:gridCol w:w="1303"/>
        <w:gridCol w:w="1303"/>
        <w:gridCol w:w="1339"/>
        <w:gridCol w:w="1339"/>
      </w:tblGrid>
      <w:tr w:rsidR="007604AD" w:rsidRPr="00BD17D6" w:rsidTr="00644E9A">
        <w:trPr>
          <w:trHeight w:val="330"/>
        </w:trPr>
        <w:tc>
          <w:tcPr>
            <w:tcW w:w="2132" w:type="pct"/>
            <w:tcBorders>
              <w:top w:val="single" w:sz="4" w:space="0" w:color="auto"/>
              <w:left w:val="single" w:sz="4" w:space="0" w:color="auto"/>
              <w:bottom w:val="nil"/>
              <w:right w:val="single" w:sz="4" w:space="0" w:color="auto"/>
            </w:tcBorders>
            <w:shd w:val="clear" w:color="000000" w:fill="C0C0C0"/>
            <w:noWrap/>
            <w:vAlign w:val="center"/>
            <w:hideMark/>
          </w:tcPr>
          <w:p w:rsidR="007604AD" w:rsidRPr="00BD17D6" w:rsidRDefault="007604AD"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Treść</w:t>
            </w:r>
          </w:p>
        </w:tc>
        <w:tc>
          <w:tcPr>
            <w:tcW w:w="707" w:type="pct"/>
            <w:tcBorders>
              <w:top w:val="single" w:sz="4" w:space="0" w:color="auto"/>
              <w:left w:val="nil"/>
              <w:bottom w:val="single" w:sz="4" w:space="0" w:color="auto"/>
              <w:right w:val="single" w:sz="4" w:space="0" w:color="auto"/>
            </w:tcBorders>
            <w:shd w:val="clear" w:color="000000" w:fill="C0C0C0"/>
            <w:noWrap/>
            <w:vAlign w:val="center"/>
            <w:hideMark/>
          </w:tcPr>
          <w:p w:rsidR="007604AD" w:rsidRPr="00BD17D6" w:rsidRDefault="007604AD"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2011</w:t>
            </w:r>
          </w:p>
        </w:tc>
        <w:tc>
          <w:tcPr>
            <w:tcW w:w="707" w:type="pct"/>
            <w:tcBorders>
              <w:top w:val="single" w:sz="4" w:space="0" w:color="auto"/>
              <w:left w:val="nil"/>
              <w:bottom w:val="single" w:sz="4" w:space="0" w:color="auto"/>
              <w:right w:val="single" w:sz="4" w:space="0" w:color="auto"/>
            </w:tcBorders>
            <w:shd w:val="clear" w:color="000000" w:fill="C0C0C0"/>
            <w:noWrap/>
            <w:vAlign w:val="center"/>
            <w:hideMark/>
          </w:tcPr>
          <w:p w:rsidR="007604AD" w:rsidRPr="00BD17D6" w:rsidRDefault="007604AD"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2012</w:t>
            </w:r>
          </w:p>
        </w:tc>
        <w:tc>
          <w:tcPr>
            <w:tcW w:w="727" w:type="pct"/>
            <w:tcBorders>
              <w:top w:val="single" w:sz="4" w:space="0" w:color="auto"/>
              <w:left w:val="nil"/>
              <w:bottom w:val="single" w:sz="4" w:space="0" w:color="auto"/>
              <w:right w:val="single" w:sz="4" w:space="0" w:color="auto"/>
            </w:tcBorders>
            <w:shd w:val="clear" w:color="000000" w:fill="C0C0C0"/>
            <w:noWrap/>
            <w:vAlign w:val="center"/>
            <w:hideMark/>
          </w:tcPr>
          <w:p w:rsidR="007604AD" w:rsidRPr="00BD17D6" w:rsidRDefault="007604AD"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2013</w:t>
            </w:r>
          </w:p>
        </w:tc>
        <w:tc>
          <w:tcPr>
            <w:tcW w:w="727" w:type="pct"/>
            <w:tcBorders>
              <w:top w:val="single" w:sz="4" w:space="0" w:color="auto"/>
              <w:left w:val="nil"/>
              <w:bottom w:val="single" w:sz="4" w:space="0" w:color="auto"/>
              <w:right w:val="single" w:sz="4" w:space="0" w:color="auto"/>
            </w:tcBorders>
            <w:shd w:val="clear" w:color="000000" w:fill="C0C0C0"/>
            <w:noWrap/>
            <w:vAlign w:val="center"/>
            <w:hideMark/>
          </w:tcPr>
          <w:p w:rsidR="007604AD" w:rsidRPr="00BD17D6" w:rsidRDefault="007604AD"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2014</w:t>
            </w:r>
          </w:p>
        </w:tc>
      </w:tr>
      <w:tr w:rsidR="007604AD" w:rsidRPr="00BD17D6" w:rsidTr="00121F58">
        <w:trPr>
          <w:trHeight w:val="330"/>
        </w:trPr>
        <w:tc>
          <w:tcPr>
            <w:tcW w:w="213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 xml:space="preserve">PRZYCHODY ZE SPRZEDAŻY </w:t>
            </w:r>
          </w:p>
        </w:tc>
        <w:tc>
          <w:tcPr>
            <w:tcW w:w="707"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3 286 075,57</w:t>
            </w:r>
          </w:p>
        </w:tc>
        <w:tc>
          <w:tcPr>
            <w:tcW w:w="707"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2 227 055,57</w:t>
            </w:r>
          </w:p>
        </w:tc>
        <w:tc>
          <w:tcPr>
            <w:tcW w:w="727"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2 157 880,99</w:t>
            </w:r>
          </w:p>
        </w:tc>
        <w:tc>
          <w:tcPr>
            <w:tcW w:w="727"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2 053 379,08</w:t>
            </w:r>
          </w:p>
        </w:tc>
      </w:tr>
      <w:tr w:rsidR="007604AD" w:rsidRPr="00BD17D6" w:rsidTr="00121F58">
        <w:trPr>
          <w:trHeight w:val="330"/>
        </w:trPr>
        <w:tc>
          <w:tcPr>
            <w:tcW w:w="2132" w:type="pct"/>
            <w:tcBorders>
              <w:top w:val="nil"/>
              <w:left w:val="single" w:sz="4" w:space="0" w:color="auto"/>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POZOSTAŁE PRZYCHODY OPERACYJNE</w:t>
            </w:r>
          </w:p>
        </w:tc>
        <w:tc>
          <w:tcPr>
            <w:tcW w:w="707"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1 054 274,07</w:t>
            </w:r>
          </w:p>
        </w:tc>
        <w:tc>
          <w:tcPr>
            <w:tcW w:w="707"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2 787 806,16</w:t>
            </w:r>
          </w:p>
        </w:tc>
        <w:tc>
          <w:tcPr>
            <w:tcW w:w="727"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2 822 787,43</w:t>
            </w:r>
          </w:p>
        </w:tc>
        <w:tc>
          <w:tcPr>
            <w:tcW w:w="727"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3 222 931,27</w:t>
            </w:r>
          </w:p>
        </w:tc>
      </w:tr>
      <w:tr w:rsidR="007604AD" w:rsidRPr="00BD17D6" w:rsidTr="00121F58">
        <w:trPr>
          <w:trHeight w:val="330"/>
        </w:trPr>
        <w:tc>
          <w:tcPr>
            <w:tcW w:w="2132" w:type="pct"/>
            <w:tcBorders>
              <w:top w:val="nil"/>
              <w:left w:val="single" w:sz="4" w:space="0" w:color="auto"/>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PRZYCHODY FINANSOWE</w:t>
            </w:r>
          </w:p>
        </w:tc>
        <w:tc>
          <w:tcPr>
            <w:tcW w:w="707"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29 336,99</w:t>
            </w:r>
          </w:p>
        </w:tc>
        <w:tc>
          <w:tcPr>
            <w:tcW w:w="707"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43 125,59</w:t>
            </w:r>
          </w:p>
        </w:tc>
        <w:tc>
          <w:tcPr>
            <w:tcW w:w="727"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24 627,82</w:t>
            </w:r>
          </w:p>
        </w:tc>
        <w:tc>
          <w:tcPr>
            <w:tcW w:w="727"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25 704,15</w:t>
            </w:r>
          </w:p>
        </w:tc>
      </w:tr>
    </w:tbl>
    <w:p w:rsidR="00337628" w:rsidRDefault="00337628" w:rsidP="007604AD">
      <w:pPr>
        <w:spacing w:after="0" w:line="240" w:lineRule="auto"/>
        <w:rPr>
          <w:rFonts w:asciiTheme="minorHAnsi" w:hAnsiTheme="minorHAnsi"/>
          <w:b/>
          <w:sz w:val="24"/>
          <w:szCs w:val="24"/>
        </w:rPr>
      </w:pPr>
    </w:p>
    <w:p w:rsidR="007604AD" w:rsidRPr="00BD17D6" w:rsidRDefault="007604AD" w:rsidP="007604AD">
      <w:pPr>
        <w:spacing w:after="0" w:line="240" w:lineRule="auto"/>
        <w:rPr>
          <w:rFonts w:asciiTheme="minorHAnsi" w:hAnsiTheme="minorHAnsi"/>
          <w:b/>
          <w:sz w:val="24"/>
          <w:szCs w:val="24"/>
        </w:rPr>
      </w:pPr>
      <w:r w:rsidRPr="00BD17D6">
        <w:rPr>
          <w:rFonts w:asciiTheme="minorHAnsi" w:hAnsiTheme="minorHAnsi"/>
          <w:b/>
          <w:sz w:val="24"/>
          <w:szCs w:val="24"/>
        </w:rPr>
        <w:lastRenderedPageBreak/>
        <w:t>Koszty</w:t>
      </w:r>
    </w:p>
    <w:p w:rsidR="007604AD" w:rsidRPr="00BD17D6" w:rsidRDefault="007604AD" w:rsidP="007604AD">
      <w:pPr>
        <w:spacing w:after="0" w:line="240" w:lineRule="auto"/>
        <w:jc w:val="both"/>
        <w:rPr>
          <w:rFonts w:asciiTheme="minorHAnsi" w:hAnsiTheme="minorHAnsi"/>
          <w:sz w:val="24"/>
          <w:lang w:eastAsia="pl-PL"/>
        </w:rPr>
      </w:pPr>
      <w:r w:rsidRPr="00BD17D6">
        <w:rPr>
          <w:rFonts w:asciiTheme="minorHAnsi" w:hAnsiTheme="minorHAnsi"/>
          <w:sz w:val="24"/>
        </w:rPr>
        <w:t xml:space="preserve">Wśród kosztów działalności operacyjnej Przedsiębiorstwa, pierwszą pozycję, niezmiennie od wielu lat, zajmują wynagrodzenia - 2 235 703,84 zł, w dalszej kolejności: </w:t>
      </w:r>
      <w:r w:rsidRPr="00BD17D6">
        <w:rPr>
          <w:rFonts w:asciiTheme="minorHAnsi" w:hAnsiTheme="minorHAnsi"/>
          <w:sz w:val="24"/>
          <w:lang w:eastAsia="pl-PL"/>
        </w:rPr>
        <w:t>zużycie materiałów i energii - 1 339 649,14 zł, ubezpieczenia społeczne i inne świadczenia - 561 776,64 zł, amortyzacja - 485 077,26 zł oraz usługi obce - 280 013,48 zł. W porównaniu do roku ubiegłego łączna wartość kosztów zwiększyła się o ponad 6,55%.</w:t>
      </w:r>
    </w:p>
    <w:p w:rsidR="007604AD" w:rsidRPr="00BD17D6" w:rsidRDefault="007604AD" w:rsidP="007604AD">
      <w:pPr>
        <w:spacing w:after="0" w:line="240" w:lineRule="auto"/>
        <w:jc w:val="both"/>
        <w:rPr>
          <w:rFonts w:asciiTheme="minorHAnsi" w:hAnsiTheme="minorHAnsi"/>
          <w:sz w:val="14"/>
        </w:rPr>
      </w:pPr>
    </w:p>
    <w:tbl>
      <w:tblPr>
        <w:tblW w:w="5000" w:type="pct"/>
        <w:tblCellMar>
          <w:left w:w="70" w:type="dxa"/>
          <w:right w:w="70" w:type="dxa"/>
        </w:tblCellMar>
        <w:tblLook w:val="04A0" w:firstRow="1" w:lastRow="0" w:firstColumn="1" w:lastColumn="0" w:noHBand="0" w:noVBand="1"/>
      </w:tblPr>
      <w:tblGrid>
        <w:gridCol w:w="3928"/>
        <w:gridCol w:w="1303"/>
        <w:gridCol w:w="1303"/>
        <w:gridCol w:w="1339"/>
        <w:gridCol w:w="1339"/>
      </w:tblGrid>
      <w:tr w:rsidR="007604AD" w:rsidRPr="00BD17D6" w:rsidTr="00644E9A">
        <w:trPr>
          <w:trHeight w:val="330"/>
        </w:trPr>
        <w:tc>
          <w:tcPr>
            <w:tcW w:w="2132" w:type="pct"/>
            <w:tcBorders>
              <w:top w:val="single" w:sz="4" w:space="0" w:color="auto"/>
              <w:left w:val="single" w:sz="4" w:space="0" w:color="auto"/>
              <w:bottom w:val="nil"/>
              <w:right w:val="single" w:sz="4" w:space="0" w:color="auto"/>
            </w:tcBorders>
            <w:shd w:val="clear" w:color="000000" w:fill="C0C0C0"/>
            <w:noWrap/>
            <w:vAlign w:val="center"/>
            <w:hideMark/>
          </w:tcPr>
          <w:p w:rsidR="007604AD" w:rsidRPr="00BD17D6" w:rsidRDefault="007604AD"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Treść</w:t>
            </w:r>
          </w:p>
        </w:tc>
        <w:tc>
          <w:tcPr>
            <w:tcW w:w="707" w:type="pct"/>
            <w:tcBorders>
              <w:top w:val="single" w:sz="4" w:space="0" w:color="auto"/>
              <w:left w:val="nil"/>
              <w:bottom w:val="single" w:sz="4" w:space="0" w:color="auto"/>
              <w:right w:val="single" w:sz="4" w:space="0" w:color="auto"/>
            </w:tcBorders>
            <w:shd w:val="clear" w:color="000000" w:fill="C0C0C0"/>
            <w:noWrap/>
            <w:vAlign w:val="center"/>
            <w:hideMark/>
          </w:tcPr>
          <w:p w:rsidR="007604AD" w:rsidRPr="00BD17D6" w:rsidRDefault="007604AD"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2011</w:t>
            </w:r>
          </w:p>
        </w:tc>
        <w:tc>
          <w:tcPr>
            <w:tcW w:w="707" w:type="pct"/>
            <w:tcBorders>
              <w:top w:val="single" w:sz="4" w:space="0" w:color="auto"/>
              <w:left w:val="nil"/>
              <w:bottom w:val="single" w:sz="4" w:space="0" w:color="auto"/>
              <w:right w:val="single" w:sz="4" w:space="0" w:color="auto"/>
            </w:tcBorders>
            <w:shd w:val="clear" w:color="000000" w:fill="C0C0C0"/>
            <w:noWrap/>
            <w:vAlign w:val="center"/>
            <w:hideMark/>
          </w:tcPr>
          <w:p w:rsidR="007604AD" w:rsidRPr="00BD17D6" w:rsidRDefault="007604AD"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2012</w:t>
            </w:r>
          </w:p>
        </w:tc>
        <w:tc>
          <w:tcPr>
            <w:tcW w:w="727" w:type="pct"/>
            <w:tcBorders>
              <w:top w:val="single" w:sz="4" w:space="0" w:color="auto"/>
              <w:left w:val="nil"/>
              <w:bottom w:val="single" w:sz="4" w:space="0" w:color="auto"/>
              <w:right w:val="single" w:sz="4" w:space="0" w:color="auto"/>
            </w:tcBorders>
            <w:shd w:val="clear" w:color="000000" w:fill="C0C0C0"/>
            <w:noWrap/>
            <w:vAlign w:val="center"/>
            <w:hideMark/>
          </w:tcPr>
          <w:p w:rsidR="007604AD" w:rsidRPr="00BD17D6" w:rsidRDefault="007604AD"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2013</w:t>
            </w:r>
          </w:p>
        </w:tc>
        <w:tc>
          <w:tcPr>
            <w:tcW w:w="727" w:type="pct"/>
            <w:tcBorders>
              <w:top w:val="single" w:sz="4" w:space="0" w:color="auto"/>
              <w:left w:val="nil"/>
              <w:bottom w:val="single" w:sz="4" w:space="0" w:color="auto"/>
              <w:right w:val="single" w:sz="4" w:space="0" w:color="auto"/>
            </w:tcBorders>
            <w:shd w:val="clear" w:color="000000" w:fill="C0C0C0"/>
            <w:noWrap/>
            <w:vAlign w:val="center"/>
            <w:hideMark/>
          </w:tcPr>
          <w:p w:rsidR="007604AD" w:rsidRPr="00BD17D6" w:rsidRDefault="007604AD"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2014</w:t>
            </w:r>
          </w:p>
        </w:tc>
      </w:tr>
      <w:tr w:rsidR="007604AD" w:rsidRPr="00BD17D6" w:rsidTr="00121F58">
        <w:trPr>
          <w:trHeight w:val="330"/>
        </w:trPr>
        <w:tc>
          <w:tcPr>
            <w:tcW w:w="213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KOSZTY DZIAŁALNOŚCI OPERACYJNEJ</w:t>
            </w:r>
          </w:p>
        </w:tc>
        <w:tc>
          <w:tcPr>
            <w:tcW w:w="707"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4 983 877,36</w:t>
            </w:r>
          </w:p>
        </w:tc>
        <w:tc>
          <w:tcPr>
            <w:tcW w:w="707"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5 017 293,15</w:t>
            </w:r>
          </w:p>
        </w:tc>
        <w:tc>
          <w:tcPr>
            <w:tcW w:w="727"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4 950 579,93</w:t>
            </w:r>
          </w:p>
        </w:tc>
        <w:tc>
          <w:tcPr>
            <w:tcW w:w="727"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5 268 392,27</w:t>
            </w:r>
          </w:p>
        </w:tc>
      </w:tr>
      <w:tr w:rsidR="007604AD" w:rsidRPr="00BD17D6" w:rsidTr="00121F58">
        <w:trPr>
          <w:trHeight w:val="330"/>
        </w:trPr>
        <w:tc>
          <w:tcPr>
            <w:tcW w:w="2132" w:type="pct"/>
            <w:tcBorders>
              <w:top w:val="nil"/>
              <w:left w:val="single" w:sz="4" w:space="0" w:color="auto"/>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POZOSTAŁE KOSZTY OPERACYJNE</w:t>
            </w:r>
          </w:p>
        </w:tc>
        <w:tc>
          <w:tcPr>
            <w:tcW w:w="707"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41 436,24</w:t>
            </w:r>
          </w:p>
        </w:tc>
        <w:tc>
          <w:tcPr>
            <w:tcW w:w="707"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10 021,42</w:t>
            </w:r>
          </w:p>
        </w:tc>
        <w:tc>
          <w:tcPr>
            <w:tcW w:w="727"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7 963,59</w:t>
            </w:r>
          </w:p>
        </w:tc>
        <w:tc>
          <w:tcPr>
            <w:tcW w:w="727"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2 959,17</w:t>
            </w:r>
          </w:p>
        </w:tc>
      </w:tr>
      <w:tr w:rsidR="007604AD" w:rsidRPr="00BD17D6" w:rsidTr="00121F58">
        <w:trPr>
          <w:trHeight w:val="330"/>
        </w:trPr>
        <w:tc>
          <w:tcPr>
            <w:tcW w:w="2132" w:type="pct"/>
            <w:tcBorders>
              <w:top w:val="nil"/>
              <w:left w:val="single" w:sz="4" w:space="0" w:color="auto"/>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KOSZTY FINANSOWE</w:t>
            </w:r>
          </w:p>
        </w:tc>
        <w:tc>
          <w:tcPr>
            <w:tcW w:w="707"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14 110,10</w:t>
            </w:r>
          </w:p>
        </w:tc>
        <w:tc>
          <w:tcPr>
            <w:tcW w:w="707"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15 068,13</w:t>
            </w:r>
          </w:p>
        </w:tc>
        <w:tc>
          <w:tcPr>
            <w:tcW w:w="727"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1 187,23</w:t>
            </w:r>
          </w:p>
        </w:tc>
        <w:tc>
          <w:tcPr>
            <w:tcW w:w="727"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13 473,96</w:t>
            </w:r>
          </w:p>
        </w:tc>
      </w:tr>
    </w:tbl>
    <w:p w:rsidR="007604AD" w:rsidRPr="00BD17D6" w:rsidRDefault="007604AD" w:rsidP="007604AD">
      <w:pPr>
        <w:spacing w:after="0" w:line="240" w:lineRule="auto"/>
        <w:rPr>
          <w:rFonts w:asciiTheme="minorHAnsi" w:hAnsiTheme="minorHAnsi"/>
          <w:sz w:val="20"/>
        </w:rPr>
      </w:pPr>
    </w:p>
    <w:p w:rsidR="007604AD" w:rsidRPr="00BD17D6" w:rsidRDefault="007604AD" w:rsidP="007604AD">
      <w:pPr>
        <w:spacing w:after="0" w:line="240" w:lineRule="auto"/>
        <w:rPr>
          <w:rFonts w:asciiTheme="minorHAnsi" w:hAnsiTheme="minorHAnsi"/>
          <w:b/>
          <w:sz w:val="24"/>
        </w:rPr>
      </w:pPr>
      <w:r w:rsidRPr="00BD17D6">
        <w:rPr>
          <w:rFonts w:asciiTheme="minorHAnsi" w:hAnsiTheme="minorHAnsi"/>
          <w:b/>
          <w:sz w:val="24"/>
        </w:rPr>
        <w:t>Zysk</w:t>
      </w:r>
    </w:p>
    <w:p w:rsidR="007604AD" w:rsidRPr="00BD17D6" w:rsidRDefault="007604AD" w:rsidP="007604AD">
      <w:pPr>
        <w:spacing w:after="0" w:line="240" w:lineRule="auto"/>
        <w:jc w:val="both"/>
        <w:rPr>
          <w:rFonts w:asciiTheme="minorHAnsi" w:hAnsiTheme="minorHAnsi"/>
          <w:sz w:val="24"/>
        </w:rPr>
      </w:pPr>
      <w:r w:rsidRPr="00BD17D6">
        <w:rPr>
          <w:rFonts w:asciiTheme="minorHAnsi" w:hAnsiTheme="minorHAnsi"/>
          <w:sz w:val="24"/>
        </w:rPr>
        <w:t>W roku 2014 pogorszyły się wyniki podstawowej działalności spółki – spadł zysk ze sprzedaży. Dzięki zwiększonemu zyskowi z pozostałej działalności operacyjnej spółka osiągnęła wkalkulowany w rekompensatę zysk w wysokości 0,5% kapitału zaangażowanego w publiczny transport zbiorowy.</w:t>
      </w:r>
    </w:p>
    <w:p w:rsidR="007604AD" w:rsidRPr="00BD17D6" w:rsidRDefault="007604AD" w:rsidP="007604AD">
      <w:pPr>
        <w:spacing w:after="0" w:line="240" w:lineRule="auto"/>
        <w:rPr>
          <w:rFonts w:asciiTheme="minorHAnsi" w:hAnsiTheme="minorHAnsi"/>
          <w:sz w:val="14"/>
        </w:rPr>
      </w:pPr>
    </w:p>
    <w:tbl>
      <w:tblPr>
        <w:tblW w:w="5000" w:type="pct"/>
        <w:tblLayout w:type="fixed"/>
        <w:tblCellMar>
          <w:left w:w="70" w:type="dxa"/>
          <w:right w:w="70" w:type="dxa"/>
        </w:tblCellMar>
        <w:tblLook w:val="04A0" w:firstRow="1" w:lastRow="0" w:firstColumn="1" w:lastColumn="0" w:noHBand="0" w:noVBand="1"/>
      </w:tblPr>
      <w:tblGrid>
        <w:gridCol w:w="2483"/>
        <w:gridCol w:w="1683"/>
        <w:gridCol w:w="1682"/>
        <w:gridCol w:w="1682"/>
        <w:gridCol w:w="1682"/>
      </w:tblGrid>
      <w:tr w:rsidR="007604AD" w:rsidRPr="00BD17D6" w:rsidTr="00644E9A">
        <w:trPr>
          <w:trHeight w:val="330"/>
        </w:trPr>
        <w:tc>
          <w:tcPr>
            <w:tcW w:w="1346" w:type="pct"/>
            <w:tcBorders>
              <w:top w:val="single" w:sz="4" w:space="0" w:color="auto"/>
              <w:left w:val="single" w:sz="4" w:space="0" w:color="auto"/>
              <w:bottom w:val="nil"/>
              <w:right w:val="single" w:sz="4" w:space="0" w:color="auto"/>
            </w:tcBorders>
            <w:shd w:val="clear" w:color="000000" w:fill="C0C0C0"/>
            <w:noWrap/>
            <w:vAlign w:val="center"/>
            <w:hideMark/>
          </w:tcPr>
          <w:p w:rsidR="007604AD" w:rsidRPr="00BD17D6" w:rsidRDefault="007604AD"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Treść</w:t>
            </w:r>
          </w:p>
        </w:tc>
        <w:tc>
          <w:tcPr>
            <w:tcW w:w="913" w:type="pct"/>
            <w:tcBorders>
              <w:top w:val="single" w:sz="4" w:space="0" w:color="auto"/>
              <w:left w:val="nil"/>
              <w:bottom w:val="single" w:sz="4" w:space="0" w:color="auto"/>
              <w:right w:val="single" w:sz="4" w:space="0" w:color="auto"/>
            </w:tcBorders>
            <w:shd w:val="clear" w:color="000000" w:fill="C0C0C0"/>
            <w:noWrap/>
            <w:vAlign w:val="center"/>
            <w:hideMark/>
          </w:tcPr>
          <w:p w:rsidR="007604AD" w:rsidRPr="00BD17D6" w:rsidRDefault="007604AD"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2011</w:t>
            </w:r>
          </w:p>
        </w:tc>
        <w:tc>
          <w:tcPr>
            <w:tcW w:w="913" w:type="pct"/>
            <w:tcBorders>
              <w:top w:val="single" w:sz="4" w:space="0" w:color="auto"/>
              <w:left w:val="nil"/>
              <w:bottom w:val="single" w:sz="4" w:space="0" w:color="auto"/>
              <w:right w:val="single" w:sz="4" w:space="0" w:color="auto"/>
            </w:tcBorders>
            <w:shd w:val="clear" w:color="000000" w:fill="C0C0C0"/>
            <w:noWrap/>
            <w:vAlign w:val="center"/>
            <w:hideMark/>
          </w:tcPr>
          <w:p w:rsidR="007604AD" w:rsidRPr="00BD17D6" w:rsidRDefault="007604AD"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2012</w:t>
            </w:r>
          </w:p>
        </w:tc>
        <w:tc>
          <w:tcPr>
            <w:tcW w:w="913" w:type="pct"/>
            <w:tcBorders>
              <w:top w:val="single" w:sz="4" w:space="0" w:color="auto"/>
              <w:left w:val="nil"/>
              <w:bottom w:val="single" w:sz="4" w:space="0" w:color="auto"/>
              <w:right w:val="single" w:sz="4" w:space="0" w:color="auto"/>
            </w:tcBorders>
            <w:shd w:val="clear" w:color="000000" w:fill="C0C0C0"/>
            <w:noWrap/>
            <w:vAlign w:val="center"/>
            <w:hideMark/>
          </w:tcPr>
          <w:p w:rsidR="007604AD" w:rsidRPr="00BD17D6" w:rsidRDefault="007604AD"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2013</w:t>
            </w:r>
          </w:p>
        </w:tc>
        <w:tc>
          <w:tcPr>
            <w:tcW w:w="913" w:type="pct"/>
            <w:tcBorders>
              <w:top w:val="single" w:sz="4" w:space="0" w:color="auto"/>
              <w:left w:val="nil"/>
              <w:bottom w:val="single" w:sz="4" w:space="0" w:color="auto"/>
              <w:right w:val="single" w:sz="4" w:space="0" w:color="auto"/>
            </w:tcBorders>
            <w:shd w:val="clear" w:color="000000" w:fill="C0C0C0"/>
            <w:noWrap/>
            <w:vAlign w:val="center"/>
            <w:hideMark/>
          </w:tcPr>
          <w:p w:rsidR="007604AD" w:rsidRPr="00BD17D6" w:rsidRDefault="007604AD"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2014</w:t>
            </w:r>
          </w:p>
        </w:tc>
      </w:tr>
      <w:tr w:rsidR="007604AD" w:rsidRPr="00BD17D6" w:rsidTr="00121F58">
        <w:trPr>
          <w:trHeight w:val="330"/>
        </w:trPr>
        <w:tc>
          <w:tcPr>
            <w:tcW w:w="134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ZYSK ZE SPRZEDAŻY</w:t>
            </w:r>
          </w:p>
        </w:tc>
        <w:tc>
          <w:tcPr>
            <w:tcW w:w="913"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-1 697 801,79</w:t>
            </w:r>
          </w:p>
        </w:tc>
        <w:tc>
          <w:tcPr>
            <w:tcW w:w="913"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-2 790 237,58</w:t>
            </w:r>
          </w:p>
        </w:tc>
        <w:tc>
          <w:tcPr>
            <w:tcW w:w="913"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-2 792 698,94</w:t>
            </w:r>
          </w:p>
        </w:tc>
        <w:tc>
          <w:tcPr>
            <w:tcW w:w="913"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-3 215 013,19</w:t>
            </w:r>
          </w:p>
        </w:tc>
      </w:tr>
      <w:tr w:rsidR="007604AD" w:rsidRPr="00BD17D6" w:rsidTr="00121F58">
        <w:trPr>
          <w:trHeight w:val="330"/>
        </w:trPr>
        <w:tc>
          <w:tcPr>
            <w:tcW w:w="1346" w:type="pct"/>
            <w:tcBorders>
              <w:top w:val="nil"/>
              <w:left w:val="single" w:sz="4" w:space="0" w:color="auto"/>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ZYSK Z DZIAŁALNOŚCI OPERACYJNEJ</w:t>
            </w:r>
          </w:p>
        </w:tc>
        <w:tc>
          <w:tcPr>
            <w:tcW w:w="913"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-684 963,96</w:t>
            </w:r>
          </w:p>
        </w:tc>
        <w:tc>
          <w:tcPr>
            <w:tcW w:w="913"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-12 452,84</w:t>
            </w:r>
          </w:p>
        </w:tc>
        <w:tc>
          <w:tcPr>
            <w:tcW w:w="913"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22 124,90</w:t>
            </w:r>
          </w:p>
        </w:tc>
        <w:tc>
          <w:tcPr>
            <w:tcW w:w="913"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4 958,91</w:t>
            </w:r>
          </w:p>
        </w:tc>
      </w:tr>
      <w:tr w:rsidR="007604AD" w:rsidRPr="00BD17D6" w:rsidTr="00121F58">
        <w:trPr>
          <w:trHeight w:val="330"/>
        </w:trPr>
        <w:tc>
          <w:tcPr>
            <w:tcW w:w="1346" w:type="pct"/>
            <w:tcBorders>
              <w:top w:val="nil"/>
              <w:left w:val="single" w:sz="4" w:space="0" w:color="auto"/>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ZYSK BRUTTO</w:t>
            </w:r>
          </w:p>
        </w:tc>
        <w:tc>
          <w:tcPr>
            <w:tcW w:w="913"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-669 737,07</w:t>
            </w:r>
          </w:p>
        </w:tc>
        <w:tc>
          <w:tcPr>
            <w:tcW w:w="913"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15 604,62</w:t>
            </w:r>
          </w:p>
        </w:tc>
        <w:tc>
          <w:tcPr>
            <w:tcW w:w="913"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45 565,49</w:t>
            </w:r>
          </w:p>
        </w:tc>
        <w:tc>
          <w:tcPr>
            <w:tcW w:w="913"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17 189,10</w:t>
            </w:r>
          </w:p>
        </w:tc>
      </w:tr>
      <w:tr w:rsidR="007604AD" w:rsidRPr="00BD17D6" w:rsidTr="00121F58">
        <w:trPr>
          <w:trHeight w:val="330"/>
        </w:trPr>
        <w:tc>
          <w:tcPr>
            <w:tcW w:w="1346" w:type="pct"/>
            <w:tcBorders>
              <w:top w:val="nil"/>
              <w:left w:val="single" w:sz="4" w:space="0" w:color="auto"/>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rPr>
                <w:rFonts w:asciiTheme="minorHAnsi" w:eastAsia="Times New Roman" w:hAnsiTheme="minorHAnsi" w:cs="Arial"/>
                <w:lang w:eastAsia="pl-PL"/>
              </w:rPr>
            </w:pPr>
            <w:r w:rsidRPr="00BD17D6">
              <w:rPr>
                <w:rFonts w:asciiTheme="minorHAnsi" w:eastAsia="Times New Roman" w:hAnsiTheme="minorHAnsi" w:cs="Arial"/>
                <w:lang w:eastAsia="pl-PL"/>
              </w:rPr>
              <w:t>ZYSK NETTO</w:t>
            </w:r>
          </w:p>
        </w:tc>
        <w:tc>
          <w:tcPr>
            <w:tcW w:w="913"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lang w:eastAsia="pl-PL"/>
              </w:rPr>
            </w:pPr>
            <w:r w:rsidRPr="00BD17D6">
              <w:rPr>
                <w:rFonts w:asciiTheme="minorHAnsi" w:eastAsia="Times New Roman" w:hAnsiTheme="minorHAnsi" w:cs="Arial"/>
                <w:lang w:eastAsia="pl-PL"/>
              </w:rPr>
              <w:t>-669 737,07</w:t>
            </w:r>
          </w:p>
        </w:tc>
        <w:tc>
          <w:tcPr>
            <w:tcW w:w="913"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lang w:eastAsia="pl-PL"/>
              </w:rPr>
            </w:pPr>
            <w:r w:rsidRPr="00BD17D6">
              <w:rPr>
                <w:rFonts w:asciiTheme="minorHAnsi" w:eastAsia="Times New Roman" w:hAnsiTheme="minorHAnsi" w:cs="Arial"/>
                <w:lang w:eastAsia="pl-PL"/>
              </w:rPr>
              <w:t>15 604,62</w:t>
            </w:r>
          </w:p>
        </w:tc>
        <w:tc>
          <w:tcPr>
            <w:tcW w:w="913"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lang w:eastAsia="pl-PL"/>
              </w:rPr>
            </w:pPr>
            <w:r w:rsidRPr="00BD17D6">
              <w:rPr>
                <w:rFonts w:asciiTheme="minorHAnsi" w:eastAsia="Times New Roman" w:hAnsiTheme="minorHAnsi" w:cs="Arial"/>
                <w:lang w:eastAsia="pl-PL"/>
              </w:rPr>
              <w:t>45 565,49</w:t>
            </w:r>
          </w:p>
        </w:tc>
        <w:tc>
          <w:tcPr>
            <w:tcW w:w="913"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lang w:eastAsia="pl-PL"/>
              </w:rPr>
            </w:pPr>
            <w:r w:rsidRPr="00BD17D6">
              <w:rPr>
                <w:rFonts w:asciiTheme="minorHAnsi" w:eastAsia="Times New Roman" w:hAnsiTheme="minorHAnsi" w:cs="Arial"/>
                <w:lang w:eastAsia="pl-PL"/>
              </w:rPr>
              <w:t>17 189,10</w:t>
            </w:r>
          </w:p>
        </w:tc>
      </w:tr>
    </w:tbl>
    <w:p w:rsidR="007604AD" w:rsidRPr="00BD17D6" w:rsidRDefault="007604AD" w:rsidP="007604AD">
      <w:pPr>
        <w:spacing w:after="0" w:line="240" w:lineRule="auto"/>
        <w:rPr>
          <w:rFonts w:asciiTheme="minorHAnsi" w:hAnsiTheme="minorHAnsi"/>
          <w:sz w:val="10"/>
        </w:rPr>
      </w:pPr>
    </w:p>
    <w:p w:rsidR="007604AD" w:rsidRPr="00BD17D6" w:rsidRDefault="007604AD" w:rsidP="007604AD">
      <w:pPr>
        <w:spacing w:after="0" w:line="240" w:lineRule="auto"/>
        <w:rPr>
          <w:rFonts w:asciiTheme="minorHAnsi" w:hAnsiTheme="minorHAnsi"/>
          <w:b/>
          <w:sz w:val="24"/>
        </w:rPr>
      </w:pPr>
      <w:r w:rsidRPr="00BD17D6">
        <w:rPr>
          <w:rFonts w:asciiTheme="minorHAnsi" w:hAnsiTheme="minorHAnsi"/>
          <w:b/>
          <w:sz w:val="24"/>
        </w:rPr>
        <w:t>Kapitał</w:t>
      </w:r>
    </w:p>
    <w:p w:rsidR="007604AD" w:rsidRPr="00BD17D6" w:rsidRDefault="007604AD" w:rsidP="007604AD">
      <w:pPr>
        <w:spacing w:after="0" w:line="240" w:lineRule="auto"/>
        <w:rPr>
          <w:rFonts w:asciiTheme="minorHAnsi" w:hAnsiTheme="minorHAnsi"/>
          <w:b/>
          <w:sz w:val="10"/>
        </w:rPr>
      </w:pPr>
    </w:p>
    <w:p w:rsidR="007604AD" w:rsidRPr="00BD17D6" w:rsidRDefault="007604AD" w:rsidP="007604AD">
      <w:pPr>
        <w:spacing w:after="0" w:line="240" w:lineRule="auto"/>
        <w:jc w:val="both"/>
        <w:rPr>
          <w:rFonts w:asciiTheme="minorHAnsi" w:hAnsiTheme="minorHAnsi"/>
          <w:sz w:val="24"/>
          <w:szCs w:val="24"/>
        </w:rPr>
      </w:pPr>
      <w:r w:rsidRPr="00BD17D6">
        <w:rPr>
          <w:rFonts w:asciiTheme="minorHAnsi" w:hAnsiTheme="minorHAnsi"/>
          <w:sz w:val="24"/>
          <w:szCs w:val="24"/>
        </w:rPr>
        <w:t>Kapitał podstawowy Spółki nie uległ zmianie w 2014 r. i dzieli się na 4 927 udziałów, o</w:t>
      </w:r>
      <w:r w:rsidR="00AB4510">
        <w:rPr>
          <w:rFonts w:asciiTheme="minorHAnsi" w:hAnsiTheme="minorHAnsi"/>
          <w:sz w:val="24"/>
          <w:szCs w:val="24"/>
        </w:rPr>
        <w:t> </w:t>
      </w:r>
      <w:r w:rsidRPr="00BD17D6">
        <w:rPr>
          <w:rFonts w:asciiTheme="minorHAnsi" w:hAnsiTheme="minorHAnsi"/>
          <w:sz w:val="24"/>
          <w:szCs w:val="24"/>
        </w:rPr>
        <w:t xml:space="preserve">wartości nominalnej 990 zł każdy. Wszystkie są własnością Miasta Sieradza. Kwota kapitału rezerwowego wynika z dopłaty jedynego wspólnika – Miasta Sieradz, wniesionej w 2011 r. na potrzeby finansowania zakupu autobusów i systemu monitoringu, w ramach Regionalnego Programu Operacyjnego. </w:t>
      </w:r>
    </w:p>
    <w:p w:rsidR="007604AD" w:rsidRPr="00337628" w:rsidRDefault="007604AD" w:rsidP="007604AD">
      <w:pPr>
        <w:spacing w:after="0" w:line="240" w:lineRule="auto"/>
        <w:jc w:val="both"/>
        <w:rPr>
          <w:rFonts w:asciiTheme="minorHAnsi" w:hAnsiTheme="minorHAnsi"/>
          <w:sz w:val="18"/>
          <w:szCs w:val="24"/>
        </w:rPr>
      </w:pPr>
    </w:p>
    <w:p w:rsidR="007604AD" w:rsidRPr="00BD17D6" w:rsidRDefault="007604AD" w:rsidP="007604AD">
      <w:pPr>
        <w:spacing w:after="0" w:line="240" w:lineRule="auto"/>
        <w:rPr>
          <w:rFonts w:asciiTheme="minorHAnsi" w:hAnsiTheme="minorHAnsi"/>
          <w:sz w:val="12"/>
        </w:rPr>
      </w:pPr>
      <w:r w:rsidRPr="00BD17D6">
        <w:rPr>
          <w:rFonts w:asciiTheme="minorHAnsi" w:hAnsiTheme="minorHAnsi"/>
          <w:sz w:val="24"/>
        </w:rPr>
        <w:t xml:space="preserve"> </w:t>
      </w:r>
    </w:p>
    <w:tbl>
      <w:tblPr>
        <w:tblW w:w="5007" w:type="pct"/>
        <w:tblCellMar>
          <w:left w:w="70" w:type="dxa"/>
          <w:right w:w="70" w:type="dxa"/>
        </w:tblCellMar>
        <w:tblLook w:val="04A0" w:firstRow="1" w:lastRow="0" w:firstColumn="1" w:lastColumn="0" w:noHBand="0" w:noVBand="1"/>
      </w:tblPr>
      <w:tblGrid>
        <w:gridCol w:w="3331"/>
        <w:gridCol w:w="1727"/>
        <w:gridCol w:w="1389"/>
        <w:gridCol w:w="1389"/>
        <w:gridCol w:w="1389"/>
      </w:tblGrid>
      <w:tr w:rsidR="007604AD" w:rsidRPr="00BD17D6" w:rsidTr="005155C7">
        <w:trPr>
          <w:trHeight w:val="374"/>
        </w:trPr>
        <w:tc>
          <w:tcPr>
            <w:tcW w:w="1805" w:type="pct"/>
            <w:tcBorders>
              <w:top w:val="single" w:sz="4" w:space="0" w:color="auto"/>
              <w:left w:val="single" w:sz="4" w:space="0" w:color="auto"/>
              <w:bottom w:val="nil"/>
              <w:right w:val="single" w:sz="4" w:space="0" w:color="auto"/>
            </w:tcBorders>
            <w:shd w:val="clear" w:color="000000" w:fill="C0C0C0"/>
            <w:noWrap/>
            <w:vAlign w:val="center"/>
            <w:hideMark/>
          </w:tcPr>
          <w:p w:rsidR="007604AD" w:rsidRPr="00BD17D6" w:rsidRDefault="007604AD" w:rsidP="005155C7">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Treść</w:t>
            </w:r>
          </w:p>
        </w:tc>
        <w:tc>
          <w:tcPr>
            <w:tcW w:w="936" w:type="pct"/>
            <w:tcBorders>
              <w:top w:val="single" w:sz="4" w:space="0" w:color="auto"/>
              <w:left w:val="nil"/>
              <w:bottom w:val="single" w:sz="4" w:space="0" w:color="auto"/>
              <w:right w:val="single" w:sz="4" w:space="0" w:color="auto"/>
            </w:tcBorders>
            <w:shd w:val="clear" w:color="000000" w:fill="C0C0C0"/>
            <w:noWrap/>
            <w:vAlign w:val="center"/>
            <w:hideMark/>
          </w:tcPr>
          <w:p w:rsidR="007604AD" w:rsidRPr="00BD17D6" w:rsidRDefault="007604AD" w:rsidP="005155C7">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2011</w:t>
            </w:r>
          </w:p>
        </w:tc>
        <w:tc>
          <w:tcPr>
            <w:tcW w:w="753" w:type="pct"/>
            <w:tcBorders>
              <w:top w:val="single" w:sz="4" w:space="0" w:color="auto"/>
              <w:left w:val="nil"/>
              <w:bottom w:val="single" w:sz="4" w:space="0" w:color="auto"/>
              <w:right w:val="single" w:sz="4" w:space="0" w:color="auto"/>
            </w:tcBorders>
            <w:shd w:val="clear" w:color="000000" w:fill="C0C0C0"/>
            <w:noWrap/>
            <w:vAlign w:val="center"/>
            <w:hideMark/>
          </w:tcPr>
          <w:p w:rsidR="007604AD" w:rsidRPr="00BD17D6" w:rsidRDefault="007604AD" w:rsidP="005155C7">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2012</w:t>
            </w:r>
          </w:p>
        </w:tc>
        <w:tc>
          <w:tcPr>
            <w:tcW w:w="753" w:type="pct"/>
            <w:tcBorders>
              <w:top w:val="single" w:sz="4" w:space="0" w:color="auto"/>
              <w:left w:val="nil"/>
              <w:bottom w:val="single" w:sz="4" w:space="0" w:color="auto"/>
              <w:right w:val="single" w:sz="4" w:space="0" w:color="auto"/>
            </w:tcBorders>
            <w:shd w:val="clear" w:color="000000" w:fill="C0C0C0"/>
            <w:noWrap/>
            <w:vAlign w:val="center"/>
            <w:hideMark/>
          </w:tcPr>
          <w:p w:rsidR="007604AD" w:rsidRPr="00BD17D6" w:rsidRDefault="007604AD" w:rsidP="005155C7">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2013</w:t>
            </w:r>
          </w:p>
        </w:tc>
        <w:tc>
          <w:tcPr>
            <w:tcW w:w="753" w:type="pct"/>
            <w:tcBorders>
              <w:top w:val="single" w:sz="4" w:space="0" w:color="auto"/>
              <w:left w:val="nil"/>
              <w:bottom w:val="single" w:sz="4" w:space="0" w:color="auto"/>
              <w:right w:val="single" w:sz="4" w:space="0" w:color="auto"/>
            </w:tcBorders>
            <w:shd w:val="clear" w:color="000000" w:fill="C0C0C0"/>
            <w:noWrap/>
            <w:vAlign w:val="center"/>
            <w:hideMark/>
          </w:tcPr>
          <w:p w:rsidR="007604AD" w:rsidRPr="00BD17D6" w:rsidRDefault="007604AD" w:rsidP="005155C7">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2014</w:t>
            </w:r>
          </w:p>
        </w:tc>
      </w:tr>
      <w:tr w:rsidR="007604AD" w:rsidRPr="00BD17D6" w:rsidTr="00121F58">
        <w:trPr>
          <w:trHeight w:val="374"/>
        </w:trPr>
        <w:tc>
          <w:tcPr>
            <w:tcW w:w="18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KAPITAŁ PODSTAWOWY</w:t>
            </w:r>
          </w:p>
        </w:tc>
        <w:tc>
          <w:tcPr>
            <w:tcW w:w="936"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4 877 730,00</w:t>
            </w:r>
          </w:p>
        </w:tc>
        <w:tc>
          <w:tcPr>
            <w:tcW w:w="753"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4 877 730,00</w:t>
            </w:r>
          </w:p>
        </w:tc>
        <w:tc>
          <w:tcPr>
            <w:tcW w:w="753"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4 877 730,00</w:t>
            </w:r>
          </w:p>
        </w:tc>
        <w:tc>
          <w:tcPr>
            <w:tcW w:w="753"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4 877 730,00</w:t>
            </w:r>
          </w:p>
        </w:tc>
      </w:tr>
      <w:tr w:rsidR="007604AD" w:rsidRPr="00BD17D6" w:rsidTr="00121F58">
        <w:trPr>
          <w:trHeight w:val="374"/>
        </w:trPr>
        <w:tc>
          <w:tcPr>
            <w:tcW w:w="1805" w:type="pct"/>
            <w:tcBorders>
              <w:top w:val="nil"/>
              <w:left w:val="single" w:sz="4" w:space="0" w:color="auto"/>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KAPITAŁ ZAPASOWY</w:t>
            </w:r>
          </w:p>
        </w:tc>
        <w:tc>
          <w:tcPr>
            <w:tcW w:w="936"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0,00</w:t>
            </w:r>
          </w:p>
        </w:tc>
        <w:tc>
          <w:tcPr>
            <w:tcW w:w="753"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0,00</w:t>
            </w:r>
          </w:p>
        </w:tc>
        <w:tc>
          <w:tcPr>
            <w:tcW w:w="753"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0,00</w:t>
            </w:r>
          </w:p>
        </w:tc>
        <w:tc>
          <w:tcPr>
            <w:tcW w:w="753"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0,00</w:t>
            </w:r>
          </w:p>
        </w:tc>
      </w:tr>
      <w:tr w:rsidR="007604AD" w:rsidRPr="00BD17D6" w:rsidTr="00121F58">
        <w:trPr>
          <w:trHeight w:val="374"/>
        </w:trPr>
        <w:tc>
          <w:tcPr>
            <w:tcW w:w="1805" w:type="pct"/>
            <w:tcBorders>
              <w:top w:val="nil"/>
              <w:left w:val="single" w:sz="4" w:space="0" w:color="auto"/>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KAPITAŁ REZERWOWY</w:t>
            </w:r>
          </w:p>
        </w:tc>
        <w:tc>
          <w:tcPr>
            <w:tcW w:w="936"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1 000 000,00</w:t>
            </w:r>
          </w:p>
        </w:tc>
        <w:tc>
          <w:tcPr>
            <w:tcW w:w="753"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1 000 000,00</w:t>
            </w:r>
          </w:p>
        </w:tc>
        <w:tc>
          <w:tcPr>
            <w:tcW w:w="753"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1 000 000,00</w:t>
            </w:r>
          </w:p>
        </w:tc>
        <w:tc>
          <w:tcPr>
            <w:tcW w:w="753" w:type="pct"/>
            <w:tcBorders>
              <w:top w:val="nil"/>
              <w:left w:val="nil"/>
              <w:bottom w:val="single" w:sz="4" w:space="0" w:color="auto"/>
              <w:right w:val="single" w:sz="4" w:space="0" w:color="auto"/>
            </w:tcBorders>
            <w:shd w:val="clear" w:color="auto" w:fill="auto"/>
            <w:noWrap/>
            <w:vAlign w:val="center"/>
            <w:hideMark/>
          </w:tcPr>
          <w:p w:rsidR="007604AD" w:rsidRPr="00BD17D6" w:rsidRDefault="007604AD" w:rsidP="00121F58">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1 000 000,00</w:t>
            </w:r>
          </w:p>
        </w:tc>
      </w:tr>
    </w:tbl>
    <w:p w:rsidR="003243E2" w:rsidRPr="00BD17D6" w:rsidRDefault="003243E2" w:rsidP="00C45DC2">
      <w:pPr>
        <w:pStyle w:val="Bezodstpw"/>
        <w:rPr>
          <w:rFonts w:asciiTheme="minorHAnsi" w:hAnsiTheme="minorHAnsi"/>
          <w:b/>
          <w:sz w:val="24"/>
        </w:rPr>
      </w:pPr>
    </w:p>
    <w:p w:rsidR="00C45DC2" w:rsidRPr="00BD17D6" w:rsidRDefault="00C45DC2" w:rsidP="00C45DC2">
      <w:pPr>
        <w:pStyle w:val="Bezodstpw"/>
        <w:rPr>
          <w:rFonts w:asciiTheme="minorHAnsi" w:hAnsiTheme="minorHAnsi"/>
          <w:b/>
          <w:sz w:val="10"/>
        </w:rPr>
      </w:pPr>
      <w:r w:rsidRPr="005155C7">
        <w:rPr>
          <w:rFonts w:asciiTheme="minorHAnsi" w:hAnsiTheme="minorHAnsi"/>
          <w:b/>
          <w:sz w:val="24"/>
        </w:rPr>
        <w:t>Podsumowanie</w:t>
      </w:r>
    </w:p>
    <w:p w:rsidR="00597FEC" w:rsidRDefault="000949B7" w:rsidP="000949B7">
      <w:pPr>
        <w:pStyle w:val="Bezodstpw"/>
        <w:jc w:val="both"/>
        <w:rPr>
          <w:rFonts w:asciiTheme="minorHAnsi" w:hAnsiTheme="minorHAnsi"/>
          <w:sz w:val="24"/>
          <w:szCs w:val="24"/>
        </w:rPr>
      </w:pPr>
      <w:r w:rsidRPr="00BD17D6">
        <w:rPr>
          <w:rFonts w:asciiTheme="minorHAnsi" w:hAnsiTheme="minorHAnsi"/>
          <w:sz w:val="24"/>
          <w:szCs w:val="24"/>
        </w:rPr>
        <w:t xml:space="preserve">Zgromadzenie Wspólników zatwierdziło sprawozdania finansowe Spółki oraz udzieliło absolutorium Zarządowi i Radzie Nadzorczej. Podjęto także uchwałę o podziale zysku </w:t>
      </w:r>
      <w:r w:rsidR="00597FEC">
        <w:rPr>
          <w:rFonts w:asciiTheme="minorHAnsi" w:hAnsiTheme="minorHAnsi"/>
          <w:sz w:val="24"/>
          <w:szCs w:val="24"/>
        </w:rPr>
        <w:t>osiągniętego w</w:t>
      </w:r>
      <w:r w:rsidRPr="00BD17D6">
        <w:rPr>
          <w:rFonts w:asciiTheme="minorHAnsi" w:hAnsiTheme="minorHAnsi"/>
          <w:sz w:val="24"/>
          <w:szCs w:val="24"/>
        </w:rPr>
        <w:t xml:space="preserve"> rok</w:t>
      </w:r>
      <w:r w:rsidR="00597FEC">
        <w:rPr>
          <w:rFonts w:asciiTheme="minorHAnsi" w:hAnsiTheme="minorHAnsi"/>
          <w:sz w:val="24"/>
          <w:szCs w:val="24"/>
        </w:rPr>
        <w:t>u</w:t>
      </w:r>
      <w:r w:rsidRPr="00BD17D6">
        <w:rPr>
          <w:rFonts w:asciiTheme="minorHAnsi" w:hAnsiTheme="minorHAnsi"/>
          <w:sz w:val="24"/>
          <w:szCs w:val="24"/>
        </w:rPr>
        <w:t xml:space="preserve"> 201</w:t>
      </w:r>
      <w:r w:rsidR="00337628">
        <w:rPr>
          <w:rFonts w:asciiTheme="minorHAnsi" w:hAnsiTheme="minorHAnsi"/>
          <w:sz w:val="24"/>
          <w:szCs w:val="24"/>
        </w:rPr>
        <w:t>4</w:t>
      </w:r>
      <w:r w:rsidR="00597FEC">
        <w:rPr>
          <w:rFonts w:asciiTheme="minorHAnsi" w:hAnsiTheme="minorHAnsi"/>
          <w:sz w:val="24"/>
          <w:szCs w:val="24"/>
        </w:rPr>
        <w:t xml:space="preserve"> r. Zysk spółki</w:t>
      </w:r>
      <w:r w:rsidR="00337628">
        <w:rPr>
          <w:rFonts w:asciiTheme="minorHAnsi" w:hAnsiTheme="minorHAnsi"/>
          <w:sz w:val="24"/>
          <w:szCs w:val="24"/>
        </w:rPr>
        <w:t>, w kwocie 17 189,10 zł</w:t>
      </w:r>
      <w:r w:rsidR="00597FEC">
        <w:rPr>
          <w:rFonts w:asciiTheme="minorHAnsi" w:hAnsiTheme="minorHAnsi"/>
          <w:sz w:val="24"/>
          <w:szCs w:val="24"/>
        </w:rPr>
        <w:t xml:space="preserve"> przeznaczon</w:t>
      </w:r>
      <w:r w:rsidR="00050CC5">
        <w:rPr>
          <w:rFonts w:asciiTheme="minorHAnsi" w:hAnsiTheme="minorHAnsi"/>
          <w:sz w:val="24"/>
          <w:szCs w:val="24"/>
        </w:rPr>
        <w:t xml:space="preserve">y został </w:t>
      </w:r>
      <w:r w:rsidR="00597FEC">
        <w:rPr>
          <w:rFonts w:asciiTheme="minorHAnsi" w:hAnsiTheme="minorHAnsi"/>
          <w:sz w:val="24"/>
          <w:szCs w:val="24"/>
        </w:rPr>
        <w:t>na</w:t>
      </w:r>
      <w:r w:rsidRPr="00BD17D6">
        <w:rPr>
          <w:rFonts w:asciiTheme="minorHAnsi" w:hAnsiTheme="minorHAnsi"/>
          <w:sz w:val="24"/>
          <w:szCs w:val="24"/>
        </w:rPr>
        <w:t xml:space="preserve"> </w:t>
      </w:r>
      <w:r w:rsidR="003243E2" w:rsidRPr="00BD17D6">
        <w:rPr>
          <w:rFonts w:asciiTheme="minorHAnsi" w:hAnsiTheme="minorHAnsi"/>
          <w:sz w:val="24"/>
          <w:szCs w:val="24"/>
        </w:rPr>
        <w:t>inwestycje</w:t>
      </w:r>
      <w:r w:rsidR="00597FEC">
        <w:rPr>
          <w:rFonts w:asciiTheme="minorHAnsi" w:hAnsiTheme="minorHAnsi"/>
          <w:sz w:val="24"/>
          <w:szCs w:val="24"/>
        </w:rPr>
        <w:t xml:space="preserve"> oraz pokrycie strat z lat ubiegłych, w następujących proporcjach:</w:t>
      </w:r>
    </w:p>
    <w:p w:rsidR="00050CC5" w:rsidRDefault="00597FEC" w:rsidP="00AB4510">
      <w:pPr>
        <w:pStyle w:val="Bezodstpw"/>
        <w:numPr>
          <w:ilvl w:val="0"/>
          <w:numId w:val="8"/>
        </w:numPr>
        <w:jc w:val="both"/>
        <w:rPr>
          <w:rFonts w:asciiTheme="minorHAnsi" w:hAnsiTheme="minorHAnsi"/>
          <w:sz w:val="24"/>
          <w:szCs w:val="24"/>
        </w:rPr>
      </w:pPr>
      <w:r>
        <w:rPr>
          <w:rFonts w:asciiTheme="minorHAnsi" w:hAnsiTheme="minorHAnsi"/>
          <w:sz w:val="24"/>
          <w:szCs w:val="24"/>
        </w:rPr>
        <w:t>pokrycie strat z lat ubiegłych – 11 329,86 zł</w:t>
      </w:r>
      <w:r w:rsidR="00050CC5">
        <w:rPr>
          <w:rFonts w:asciiTheme="minorHAnsi" w:hAnsiTheme="minorHAnsi"/>
          <w:sz w:val="24"/>
          <w:szCs w:val="24"/>
        </w:rPr>
        <w:t>;</w:t>
      </w:r>
    </w:p>
    <w:p w:rsidR="00050CC5" w:rsidRDefault="00050CC5" w:rsidP="00AB4510">
      <w:pPr>
        <w:pStyle w:val="Bezodstpw"/>
        <w:numPr>
          <w:ilvl w:val="0"/>
          <w:numId w:val="8"/>
        </w:numPr>
        <w:jc w:val="both"/>
        <w:rPr>
          <w:rFonts w:asciiTheme="minorHAnsi" w:hAnsiTheme="minorHAnsi"/>
          <w:sz w:val="24"/>
          <w:szCs w:val="24"/>
        </w:rPr>
      </w:pPr>
      <w:r w:rsidRPr="00BD17D6">
        <w:rPr>
          <w:rFonts w:asciiTheme="minorHAnsi" w:hAnsiTheme="minorHAnsi"/>
          <w:sz w:val="24"/>
          <w:szCs w:val="24"/>
        </w:rPr>
        <w:t xml:space="preserve">wymiana wrót wjazdowych </w:t>
      </w:r>
      <w:r>
        <w:rPr>
          <w:rFonts w:asciiTheme="minorHAnsi" w:hAnsiTheme="minorHAnsi"/>
          <w:sz w:val="24"/>
          <w:szCs w:val="24"/>
        </w:rPr>
        <w:t>– 5 859,24 zł.</w:t>
      </w:r>
    </w:p>
    <w:p w:rsidR="000949B7" w:rsidRPr="00BD17D6" w:rsidRDefault="000949B7" w:rsidP="000949B7">
      <w:pPr>
        <w:pStyle w:val="Bezodstpw"/>
        <w:jc w:val="both"/>
        <w:rPr>
          <w:rFonts w:asciiTheme="minorHAnsi" w:hAnsiTheme="minorHAnsi"/>
          <w:sz w:val="24"/>
          <w:szCs w:val="24"/>
        </w:rPr>
      </w:pPr>
      <w:r w:rsidRPr="00BD17D6">
        <w:rPr>
          <w:rFonts w:asciiTheme="minorHAnsi" w:hAnsiTheme="minorHAnsi"/>
          <w:sz w:val="24"/>
          <w:szCs w:val="24"/>
        </w:rPr>
        <w:t xml:space="preserve"> </w:t>
      </w:r>
    </w:p>
    <w:p w:rsidR="00204D2D" w:rsidRPr="00BD17D6" w:rsidRDefault="00204D2D" w:rsidP="000949B7">
      <w:pPr>
        <w:pStyle w:val="Bezodstpw"/>
        <w:jc w:val="both"/>
        <w:rPr>
          <w:rFonts w:asciiTheme="minorHAnsi" w:hAnsiTheme="minorHAnsi"/>
          <w:sz w:val="24"/>
          <w:szCs w:val="24"/>
        </w:rPr>
      </w:pPr>
    </w:p>
    <w:p w:rsidR="00A504A7" w:rsidRPr="00BD17D6" w:rsidRDefault="00A504A7" w:rsidP="00C03091">
      <w:pPr>
        <w:pStyle w:val="Bezodstpw"/>
        <w:rPr>
          <w:rFonts w:asciiTheme="minorHAnsi" w:hAnsiTheme="minorHAnsi"/>
          <w:b/>
          <w:i/>
          <w:sz w:val="28"/>
          <w:u w:val="single"/>
        </w:rPr>
      </w:pPr>
      <w:r w:rsidRPr="00BD17D6">
        <w:rPr>
          <w:rFonts w:asciiTheme="minorHAnsi" w:hAnsiTheme="minorHAnsi"/>
          <w:b/>
          <w:i/>
          <w:sz w:val="28"/>
          <w:u w:val="single"/>
        </w:rPr>
        <w:lastRenderedPageBreak/>
        <w:t>Miejskie Przedsiębiorstw</w:t>
      </w:r>
      <w:r w:rsidR="00C03091" w:rsidRPr="00BD17D6">
        <w:rPr>
          <w:rFonts w:asciiTheme="minorHAnsi" w:hAnsiTheme="minorHAnsi"/>
          <w:b/>
          <w:i/>
          <w:sz w:val="28"/>
          <w:u w:val="single"/>
        </w:rPr>
        <w:t>o</w:t>
      </w:r>
      <w:r w:rsidRPr="00BD17D6">
        <w:rPr>
          <w:rFonts w:asciiTheme="minorHAnsi" w:hAnsiTheme="minorHAnsi"/>
          <w:b/>
          <w:i/>
          <w:sz w:val="28"/>
          <w:u w:val="single"/>
        </w:rPr>
        <w:t xml:space="preserve"> Wodociągów i Kanalizacji</w:t>
      </w:r>
      <w:r w:rsidR="00C03091" w:rsidRPr="00BD17D6">
        <w:rPr>
          <w:rFonts w:asciiTheme="minorHAnsi" w:hAnsiTheme="minorHAnsi"/>
          <w:b/>
          <w:i/>
          <w:sz w:val="28"/>
          <w:u w:val="single"/>
        </w:rPr>
        <w:t xml:space="preserve"> </w:t>
      </w:r>
      <w:r w:rsidRPr="00BD17D6">
        <w:rPr>
          <w:rFonts w:asciiTheme="minorHAnsi" w:hAnsiTheme="minorHAnsi"/>
          <w:b/>
          <w:i/>
          <w:sz w:val="28"/>
          <w:u w:val="single"/>
        </w:rPr>
        <w:t xml:space="preserve">Spółka z o.o. w Sieradzu </w:t>
      </w:r>
    </w:p>
    <w:p w:rsidR="00A504A7" w:rsidRPr="00BD17D6" w:rsidRDefault="00A504A7" w:rsidP="00C03091">
      <w:pPr>
        <w:pStyle w:val="Bezodstpw"/>
        <w:rPr>
          <w:rFonts w:asciiTheme="minorHAnsi" w:hAnsiTheme="minorHAnsi"/>
          <w:b/>
          <w:sz w:val="24"/>
        </w:rPr>
      </w:pPr>
    </w:p>
    <w:p w:rsidR="00934D77" w:rsidRPr="00BD17D6" w:rsidRDefault="00934D77" w:rsidP="00934D77">
      <w:pPr>
        <w:spacing w:after="0" w:line="240" w:lineRule="auto"/>
        <w:jc w:val="both"/>
        <w:rPr>
          <w:rFonts w:asciiTheme="minorHAnsi" w:hAnsiTheme="minorHAnsi"/>
          <w:b/>
          <w:sz w:val="24"/>
          <w:szCs w:val="24"/>
        </w:rPr>
      </w:pPr>
      <w:r w:rsidRPr="00BD17D6">
        <w:rPr>
          <w:rFonts w:asciiTheme="minorHAnsi" w:hAnsiTheme="minorHAnsi"/>
          <w:b/>
          <w:sz w:val="24"/>
          <w:szCs w:val="24"/>
        </w:rPr>
        <w:t>Działalność Przedsiębiorstwa</w:t>
      </w:r>
    </w:p>
    <w:p w:rsidR="00934D77" w:rsidRPr="00BD17D6" w:rsidRDefault="00934D77" w:rsidP="00934D77">
      <w:pPr>
        <w:spacing w:after="0" w:line="240" w:lineRule="auto"/>
        <w:jc w:val="both"/>
        <w:rPr>
          <w:rFonts w:asciiTheme="minorHAnsi" w:hAnsiTheme="minorHAnsi"/>
          <w:sz w:val="24"/>
          <w:szCs w:val="24"/>
        </w:rPr>
      </w:pPr>
      <w:r w:rsidRPr="00BD17D6">
        <w:rPr>
          <w:rFonts w:asciiTheme="minorHAnsi" w:hAnsiTheme="minorHAnsi"/>
          <w:sz w:val="24"/>
          <w:szCs w:val="24"/>
        </w:rPr>
        <w:t>W 2014 roku Miejskie Przedsiębiorstwo Wodociągów i Kanalizacji Spółka z o.o. odnotowało spadek sprzedaży usług wodociągowych i kanalizacyjnych, dotyczy to sprzedaży w ujęciu wartościowym oraz ilościowym. Spadek sprzedaży odnotowujemy zarówno na terenie Miasta Sieradz – spadek o 10,7 tys. m</w:t>
      </w:r>
      <w:r w:rsidRPr="00BD17D6">
        <w:rPr>
          <w:rFonts w:asciiTheme="minorHAnsi" w:hAnsiTheme="minorHAnsi"/>
          <w:sz w:val="24"/>
          <w:szCs w:val="24"/>
          <w:vertAlign w:val="superscript"/>
        </w:rPr>
        <w:t>3</w:t>
      </w:r>
      <w:r w:rsidRPr="00BD17D6">
        <w:rPr>
          <w:rFonts w:asciiTheme="minorHAnsi" w:hAnsiTheme="minorHAnsi"/>
          <w:sz w:val="24"/>
          <w:szCs w:val="24"/>
        </w:rPr>
        <w:t xml:space="preserve"> (0,7%), jak i Gminy Sieradz – 17,2 tys. m</w:t>
      </w:r>
      <w:r w:rsidRPr="00BD17D6">
        <w:rPr>
          <w:rFonts w:asciiTheme="minorHAnsi" w:hAnsiTheme="minorHAnsi"/>
          <w:sz w:val="24"/>
          <w:szCs w:val="24"/>
          <w:vertAlign w:val="superscript"/>
        </w:rPr>
        <w:t>3</w:t>
      </w:r>
      <w:r w:rsidRPr="00BD17D6">
        <w:rPr>
          <w:rFonts w:asciiTheme="minorHAnsi" w:hAnsiTheme="minorHAnsi"/>
          <w:sz w:val="24"/>
          <w:szCs w:val="24"/>
        </w:rPr>
        <w:t xml:space="preserve"> (6,3%) Przyczyn tego stanu rzeczy na terenie Gminy należy upatrywać w fakcie odłączenia się od urządzeń Spółki gminy Podłężyce i Rzechta oraz w utrzymującej się wśród odbiorców tendencji oszczędzania wody. </w:t>
      </w:r>
    </w:p>
    <w:p w:rsidR="00934D77" w:rsidRPr="003C68DF" w:rsidRDefault="00934D77" w:rsidP="00934D77">
      <w:pPr>
        <w:spacing w:after="0" w:line="240" w:lineRule="auto"/>
        <w:jc w:val="both"/>
        <w:rPr>
          <w:rFonts w:asciiTheme="minorHAnsi" w:hAnsiTheme="minorHAnsi"/>
          <w:sz w:val="12"/>
          <w:szCs w:val="24"/>
        </w:rPr>
      </w:pPr>
      <w:r w:rsidRPr="00BD17D6">
        <w:rPr>
          <w:rFonts w:asciiTheme="minorHAnsi" w:hAnsiTheme="minorHAnsi"/>
          <w:sz w:val="24"/>
          <w:szCs w:val="24"/>
        </w:rPr>
        <w:t xml:space="preserve"> </w:t>
      </w:r>
    </w:p>
    <w:p w:rsidR="00934D77" w:rsidRPr="00BD17D6" w:rsidRDefault="00934D77" w:rsidP="00934D77">
      <w:pPr>
        <w:spacing w:after="0" w:line="240" w:lineRule="auto"/>
        <w:rPr>
          <w:rFonts w:asciiTheme="minorHAnsi" w:hAnsiTheme="minorHAnsi"/>
          <w:sz w:val="24"/>
          <w:szCs w:val="24"/>
          <w:vertAlign w:val="superscript"/>
        </w:rPr>
      </w:pPr>
      <w:r w:rsidRPr="00BD17D6">
        <w:rPr>
          <w:rFonts w:asciiTheme="minorHAnsi" w:hAnsiTheme="minorHAnsi"/>
          <w:sz w:val="24"/>
          <w:szCs w:val="24"/>
        </w:rPr>
        <w:t>Sprzedaż wody w ujęciu rzeczowym w 2014 roku – w tys. m</w:t>
      </w:r>
      <w:r w:rsidRPr="00BD17D6">
        <w:rPr>
          <w:rFonts w:asciiTheme="minorHAnsi" w:hAnsiTheme="minorHAnsi"/>
          <w:sz w:val="24"/>
          <w:szCs w:val="24"/>
          <w:vertAlign w:val="superscript"/>
        </w:rPr>
        <w:t>3</w:t>
      </w:r>
    </w:p>
    <w:p w:rsidR="00934D77" w:rsidRPr="00BD17D6" w:rsidRDefault="00934D77" w:rsidP="00934D77">
      <w:pPr>
        <w:spacing w:after="0" w:line="240" w:lineRule="auto"/>
        <w:rPr>
          <w:rFonts w:asciiTheme="minorHAnsi" w:hAnsiTheme="minorHAnsi"/>
          <w:sz w:val="10"/>
          <w:szCs w:val="24"/>
          <w:vertAlign w:val="superscript"/>
        </w:rPr>
      </w:pPr>
    </w:p>
    <w:tbl>
      <w:tblPr>
        <w:tblW w:w="496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2"/>
        <w:gridCol w:w="936"/>
        <w:gridCol w:w="1244"/>
        <w:gridCol w:w="936"/>
        <w:gridCol w:w="1275"/>
        <w:gridCol w:w="1281"/>
        <w:gridCol w:w="1130"/>
      </w:tblGrid>
      <w:tr w:rsidR="003E6B74" w:rsidRPr="003C68DF" w:rsidTr="003C68DF">
        <w:trPr>
          <w:trHeight w:val="749"/>
        </w:trPr>
        <w:tc>
          <w:tcPr>
            <w:tcW w:w="1309" w:type="pct"/>
            <w:vMerge w:val="restart"/>
            <w:shd w:val="clear" w:color="auto" w:fill="auto"/>
            <w:noWrap/>
            <w:vAlign w:val="center"/>
            <w:hideMark/>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Wyszczególnienie</w:t>
            </w:r>
          </w:p>
        </w:tc>
        <w:tc>
          <w:tcPr>
            <w:tcW w:w="1183" w:type="pct"/>
            <w:gridSpan w:val="2"/>
            <w:shd w:val="clear" w:color="auto" w:fill="auto"/>
            <w:vAlign w:val="center"/>
            <w:hideMark/>
          </w:tcPr>
          <w:p w:rsidR="003E6B74" w:rsidRPr="003C68DF" w:rsidRDefault="00934D77" w:rsidP="00934D77">
            <w:pPr>
              <w:spacing w:after="0" w:line="240" w:lineRule="auto"/>
              <w:jc w:val="center"/>
              <w:rPr>
                <w:rFonts w:asciiTheme="minorHAnsi" w:hAnsiTheme="minorHAnsi"/>
                <w:b/>
                <w:bCs/>
                <w:sz w:val="20"/>
                <w:szCs w:val="20"/>
              </w:rPr>
            </w:pPr>
            <w:r w:rsidRPr="003C68DF">
              <w:rPr>
                <w:rFonts w:asciiTheme="minorHAnsi" w:hAnsiTheme="minorHAnsi"/>
                <w:b/>
                <w:bCs/>
                <w:sz w:val="20"/>
                <w:szCs w:val="20"/>
              </w:rPr>
              <w:t xml:space="preserve">Wykonanie </w:t>
            </w:r>
          </w:p>
          <w:p w:rsidR="00934D77" w:rsidRPr="003C68DF" w:rsidRDefault="00934D77" w:rsidP="00934D77">
            <w:pPr>
              <w:spacing w:after="0" w:line="240" w:lineRule="auto"/>
              <w:jc w:val="center"/>
              <w:rPr>
                <w:rFonts w:asciiTheme="minorHAnsi" w:hAnsiTheme="minorHAnsi"/>
                <w:b/>
                <w:bCs/>
                <w:sz w:val="20"/>
                <w:szCs w:val="20"/>
              </w:rPr>
            </w:pPr>
            <w:r w:rsidRPr="003C68DF">
              <w:rPr>
                <w:rFonts w:asciiTheme="minorHAnsi" w:hAnsiTheme="minorHAnsi"/>
                <w:b/>
                <w:bCs/>
                <w:sz w:val="20"/>
                <w:szCs w:val="20"/>
              </w:rPr>
              <w:t>za 2014 r.</w:t>
            </w:r>
          </w:p>
        </w:tc>
        <w:tc>
          <w:tcPr>
            <w:tcW w:w="1200" w:type="pct"/>
            <w:gridSpan w:val="2"/>
            <w:shd w:val="clear" w:color="auto" w:fill="auto"/>
            <w:vAlign w:val="center"/>
          </w:tcPr>
          <w:p w:rsidR="003E6B74" w:rsidRPr="003C68DF" w:rsidRDefault="00934D77" w:rsidP="00934D77">
            <w:pPr>
              <w:spacing w:after="0" w:line="240" w:lineRule="auto"/>
              <w:jc w:val="center"/>
              <w:rPr>
                <w:rFonts w:asciiTheme="minorHAnsi" w:hAnsiTheme="minorHAnsi"/>
                <w:b/>
                <w:sz w:val="20"/>
                <w:szCs w:val="20"/>
              </w:rPr>
            </w:pPr>
            <w:r w:rsidRPr="003C68DF">
              <w:rPr>
                <w:rFonts w:asciiTheme="minorHAnsi" w:hAnsiTheme="minorHAnsi"/>
                <w:b/>
                <w:sz w:val="20"/>
                <w:szCs w:val="20"/>
              </w:rPr>
              <w:t xml:space="preserve">Wykonanie </w:t>
            </w:r>
          </w:p>
          <w:p w:rsidR="00934D77" w:rsidRPr="003C68DF" w:rsidRDefault="00934D77" w:rsidP="00934D77">
            <w:pPr>
              <w:spacing w:after="0" w:line="240" w:lineRule="auto"/>
              <w:jc w:val="center"/>
              <w:rPr>
                <w:rFonts w:asciiTheme="minorHAnsi" w:hAnsiTheme="minorHAnsi"/>
                <w:b/>
                <w:sz w:val="20"/>
                <w:szCs w:val="20"/>
              </w:rPr>
            </w:pPr>
            <w:r w:rsidRPr="003C68DF">
              <w:rPr>
                <w:rFonts w:asciiTheme="minorHAnsi" w:hAnsiTheme="minorHAnsi"/>
                <w:b/>
                <w:sz w:val="20"/>
                <w:szCs w:val="20"/>
              </w:rPr>
              <w:t>za 2013 r.</w:t>
            </w:r>
          </w:p>
        </w:tc>
        <w:tc>
          <w:tcPr>
            <w:tcW w:w="695" w:type="pct"/>
            <w:shd w:val="clear" w:color="auto" w:fill="auto"/>
            <w:vAlign w:val="center"/>
            <w:hideMark/>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Odchylenie bezwzględne</w:t>
            </w:r>
          </w:p>
        </w:tc>
        <w:tc>
          <w:tcPr>
            <w:tcW w:w="613" w:type="pct"/>
            <w:shd w:val="clear" w:color="auto" w:fill="auto"/>
            <w:vAlign w:val="center"/>
            <w:hideMark/>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Dynamika %</w:t>
            </w:r>
          </w:p>
        </w:tc>
      </w:tr>
      <w:tr w:rsidR="003E6B74" w:rsidRPr="003C68DF" w:rsidTr="003C68DF">
        <w:trPr>
          <w:trHeight w:val="502"/>
        </w:trPr>
        <w:tc>
          <w:tcPr>
            <w:tcW w:w="1309" w:type="pct"/>
            <w:vMerge/>
            <w:shd w:val="clear" w:color="auto" w:fill="auto"/>
            <w:vAlign w:val="center"/>
            <w:hideMark/>
          </w:tcPr>
          <w:p w:rsidR="00934D77" w:rsidRPr="003C68DF" w:rsidRDefault="00934D77" w:rsidP="00934D77">
            <w:pPr>
              <w:spacing w:after="0" w:line="240" w:lineRule="auto"/>
              <w:jc w:val="center"/>
              <w:rPr>
                <w:rFonts w:asciiTheme="minorHAnsi" w:hAnsiTheme="minorHAnsi"/>
                <w:sz w:val="20"/>
                <w:szCs w:val="20"/>
              </w:rPr>
            </w:pPr>
          </w:p>
        </w:tc>
        <w:tc>
          <w:tcPr>
            <w:tcW w:w="508" w:type="pct"/>
            <w:shd w:val="clear" w:color="auto" w:fill="auto"/>
            <w:noWrap/>
            <w:vAlign w:val="center"/>
            <w:hideMark/>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ilość</w:t>
            </w:r>
          </w:p>
        </w:tc>
        <w:tc>
          <w:tcPr>
            <w:tcW w:w="675" w:type="pct"/>
            <w:shd w:val="clear" w:color="auto" w:fill="auto"/>
            <w:noWrap/>
            <w:vAlign w:val="center"/>
            <w:hideMark/>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struktura %</w:t>
            </w:r>
          </w:p>
        </w:tc>
        <w:tc>
          <w:tcPr>
            <w:tcW w:w="508" w:type="pct"/>
            <w:shd w:val="clear" w:color="auto" w:fill="auto"/>
            <w:noWrap/>
            <w:vAlign w:val="center"/>
          </w:tcPr>
          <w:p w:rsidR="00934D77" w:rsidRPr="003C68DF" w:rsidRDefault="00934D77" w:rsidP="00934D77">
            <w:pPr>
              <w:jc w:val="center"/>
              <w:rPr>
                <w:rFonts w:asciiTheme="minorHAnsi" w:hAnsiTheme="minorHAnsi"/>
                <w:sz w:val="20"/>
                <w:szCs w:val="20"/>
              </w:rPr>
            </w:pPr>
            <w:r w:rsidRPr="003C68DF">
              <w:rPr>
                <w:rFonts w:asciiTheme="minorHAnsi" w:hAnsiTheme="minorHAnsi"/>
                <w:sz w:val="20"/>
                <w:szCs w:val="20"/>
              </w:rPr>
              <w:t>ilość</w:t>
            </w:r>
          </w:p>
        </w:tc>
        <w:tc>
          <w:tcPr>
            <w:tcW w:w="692" w:type="pct"/>
            <w:shd w:val="clear" w:color="auto" w:fill="auto"/>
            <w:noWrap/>
            <w:vAlign w:val="center"/>
          </w:tcPr>
          <w:p w:rsidR="00934D77" w:rsidRPr="003C68DF" w:rsidRDefault="00934D77" w:rsidP="00934D77">
            <w:pPr>
              <w:jc w:val="center"/>
              <w:rPr>
                <w:rFonts w:asciiTheme="minorHAnsi" w:hAnsiTheme="minorHAnsi"/>
                <w:sz w:val="20"/>
                <w:szCs w:val="20"/>
              </w:rPr>
            </w:pPr>
            <w:r w:rsidRPr="003C68DF">
              <w:rPr>
                <w:rFonts w:asciiTheme="minorHAnsi" w:hAnsiTheme="minorHAnsi"/>
                <w:sz w:val="20"/>
                <w:szCs w:val="20"/>
              </w:rPr>
              <w:t>struktura %</w:t>
            </w:r>
          </w:p>
        </w:tc>
        <w:tc>
          <w:tcPr>
            <w:tcW w:w="695" w:type="pct"/>
            <w:shd w:val="clear" w:color="auto" w:fill="auto"/>
            <w:noWrap/>
            <w:vAlign w:val="center"/>
            <w:hideMark/>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(1-3)</w:t>
            </w:r>
          </w:p>
        </w:tc>
        <w:tc>
          <w:tcPr>
            <w:tcW w:w="613" w:type="pct"/>
            <w:shd w:val="clear" w:color="auto" w:fill="auto"/>
            <w:noWrap/>
            <w:vAlign w:val="center"/>
            <w:hideMark/>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(1:3)</w:t>
            </w:r>
          </w:p>
        </w:tc>
      </w:tr>
      <w:tr w:rsidR="003E6B74" w:rsidRPr="003C68DF" w:rsidTr="003C68DF">
        <w:trPr>
          <w:trHeight w:val="270"/>
        </w:trPr>
        <w:tc>
          <w:tcPr>
            <w:tcW w:w="1309" w:type="pct"/>
            <w:shd w:val="clear" w:color="auto" w:fill="auto"/>
            <w:noWrap/>
            <w:vAlign w:val="center"/>
            <w:hideMark/>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0</w:t>
            </w:r>
          </w:p>
        </w:tc>
        <w:tc>
          <w:tcPr>
            <w:tcW w:w="508" w:type="pct"/>
            <w:shd w:val="clear" w:color="auto" w:fill="auto"/>
            <w:noWrap/>
            <w:vAlign w:val="center"/>
            <w:hideMark/>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1</w:t>
            </w:r>
          </w:p>
        </w:tc>
        <w:tc>
          <w:tcPr>
            <w:tcW w:w="675" w:type="pct"/>
            <w:shd w:val="clear" w:color="auto" w:fill="auto"/>
            <w:noWrap/>
            <w:vAlign w:val="center"/>
            <w:hideMark/>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2</w:t>
            </w:r>
          </w:p>
        </w:tc>
        <w:tc>
          <w:tcPr>
            <w:tcW w:w="508" w:type="pct"/>
            <w:shd w:val="clear" w:color="auto" w:fill="auto"/>
            <w:noWrap/>
            <w:vAlign w:val="center"/>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3</w:t>
            </w:r>
          </w:p>
        </w:tc>
        <w:tc>
          <w:tcPr>
            <w:tcW w:w="692" w:type="pct"/>
            <w:shd w:val="clear" w:color="auto" w:fill="auto"/>
            <w:noWrap/>
            <w:vAlign w:val="center"/>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4</w:t>
            </w:r>
          </w:p>
        </w:tc>
        <w:tc>
          <w:tcPr>
            <w:tcW w:w="695" w:type="pct"/>
            <w:shd w:val="clear" w:color="auto" w:fill="auto"/>
            <w:noWrap/>
            <w:vAlign w:val="center"/>
            <w:hideMark/>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5</w:t>
            </w:r>
          </w:p>
        </w:tc>
        <w:tc>
          <w:tcPr>
            <w:tcW w:w="613" w:type="pct"/>
            <w:shd w:val="clear" w:color="auto" w:fill="auto"/>
            <w:noWrap/>
            <w:vAlign w:val="center"/>
            <w:hideMark/>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6</w:t>
            </w:r>
          </w:p>
        </w:tc>
      </w:tr>
      <w:tr w:rsidR="003E6B74" w:rsidRPr="003C68DF" w:rsidTr="003C68DF">
        <w:trPr>
          <w:trHeight w:val="573"/>
        </w:trPr>
        <w:tc>
          <w:tcPr>
            <w:tcW w:w="1309" w:type="pct"/>
            <w:shd w:val="clear" w:color="auto" w:fill="auto"/>
            <w:hideMark/>
          </w:tcPr>
          <w:p w:rsidR="00934D77" w:rsidRPr="003C68DF" w:rsidRDefault="00934D77" w:rsidP="00934D77">
            <w:pPr>
              <w:spacing w:after="0" w:line="240" w:lineRule="auto"/>
              <w:rPr>
                <w:rFonts w:asciiTheme="minorHAnsi" w:hAnsiTheme="minorHAnsi"/>
                <w:b/>
                <w:bCs/>
                <w:sz w:val="20"/>
                <w:szCs w:val="20"/>
              </w:rPr>
            </w:pPr>
            <w:r w:rsidRPr="003C68DF">
              <w:rPr>
                <w:rFonts w:asciiTheme="minorHAnsi" w:hAnsiTheme="minorHAnsi"/>
                <w:b/>
                <w:bCs/>
                <w:sz w:val="20"/>
                <w:szCs w:val="20"/>
              </w:rPr>
              <w:t xml:space="preserve">Sprzedaż wody </w:t>
            </w:r>
            <w:r w:rsidR="004D0DA4" w:rsidRPr="003C68DF">
              <w:rPr>
                <w:rFonts w:asciiTheme="minorHAnsi" w:hAnsiTheme="minorHAnsi"/>
                <w:b/>
                <w:bCs/>
                <w:sz w:val="20"/>
                <w:szCs w:val="20"/>
              </w:rPr>
              <w:t>ogółem w</w:t>
            </w:r>
            <w:r w:rsidRPr="003C68DF">
              <w:rPr>
                <w:rFonts w:asciiTheme="minorHAnsi" w:hAnsiTheme="minorHAnsi"/>
                <w:b/>
                <w:bCs/>
                <w:sz w:val="20"/>
                <w:szCs w:val="20"/>
              </w:rPr>
              <w:t xml:space="preserve"> tym:</w:t>
            </w:r>
          </w:p>
        </w:tc>
        <w:tc>
          <w:tcPr>
            <w:tcW w:w="508" w:type="pct"/>
            <w:shd w:val="clear" w:color="auto" w:fill="auto"/>
            <w:noWrap/>
            <w:vAlign w:val="center"/>
          </w:tcPr>
          <w:p w:rsidR="00934D77" w:rsidRPr="003C68DF" w:rsidRDefault="00934D77" w:rsidP="00934D77">
            <w:pPr>
              <w:spacing w:after="0" w:line="240" w:lineRule="auto"/>
              <w:jc w:val="center"/>
              <w:rPr>
                <w:rFonts w:asciiTheme="minorHAnsi" w:hAnsiTheme="minorHAnsi"/>
                <w:b/>
                <w:bCs/>
                <w:sz w:val="20"/>
                <w:szCs w:val="20"/>
              </w:rPr>
            </w:pPr>
            <w:r w:rsidRPr="003C68DF">
              <w:rPr>
                <w:rFonts w:asciiTheme="minorHAnsi" w:hAnsiTheme="minorHAnsi"/>
                <w:b/>
                <w:bCs/>
                <w:sz w:val="20"/>
                <w:szCs w:val="20"/>
              </w:rPr>
              <w:t>1 799,2</w:t>
            </w:r>
          </w:p>
        </w:tc>
        <w:tc>
          <w:tcPr>
            <w:tcW w:w="675" w:type="pct"/>
            <w:shd w:val="clear" w:color="auto" w:fill="auto"/>
            <w:noWrap/>
            <w:vAlign w:val="center"/>
          </w:tcPr>
          <w:p w:rsidR="00934D77" w:rsidRPr="003C68DF" w:rsidRDefault="00934D77" w:rsidP="00934D77">
            <w:pPr>
              <w:spacing w:after="0" w:line="240" w:lineRule="auto"/>
              <w:jc w:val="center"/>
              <w:rPr>
                <w:rFonts w:asciiTheme="minorHAnsi" w:hAnsiTheme="minorHAnsi"/>
                <w:b/>
                <w:bCs/>
                <w:i/>
                <w:iCs/>
                <w:sz w:val="20"/>
                <w:szCs w:val="20"/>
              </w:rPr>
            </w:pPr>
            <w:r w:rsidRPr="003C68DF">
              <w:rPr>
                <w:rFonts w:asciiTheme="minorHAnsi" w:hAnsiTheme="minorHAnsi"/>
                <w:b/>
                <w:bCs/>
                <w:i/>
                <w:iCs/>
                <w:sz w:val="20"/>
                <w:szCs w:val="20"/>
              </w:rPr>
              <w:t>100,00</w:t>
            </w:r>
          </w:p>
        </w:tc>
        <w:tc>
          <w:tcPr>
            <w:tcW w:w="508" w:type="pct"/>
            <w:shd w:val="clear" w:color="auto" w:fill="auto"/>
            <w:noWrap/>
            <w:vAlign w:val="center"/>
          </w:tcPr>
          <w:p w:rsidR="00934D77" w:rsidRPr="003C68DF" w:rsidRDefault="00934D77" w:rsidP="00934D77">
            <w:pPr>
              <w:spacing w:after="0" w:line="240" w:lineRule="auto"/>
              <w:jc w:val="center"/>
              <w:rPr>
                <w:rFonts w:asciiTheme="minorHAnsi" w:hAnsiTheme="minorHAnsi"/>
                <w:b/>
                <w:bCs/>
                <w:sz w:val="20"/>
                <w:szCs w:val="20"/>
              </w:rPr>
            </w:pPr>
            <w:r w:rsidRPr="003C68DF">
              <w:rPr>
                <w:rFonts w:asciiTheme="minorHAnsi" w:hAnsiTheme="minorHAnsi"/>
                <w:b/>
                <w:bCs/>
                <w:sz w:val="20"/>
                <w:szCs w:val="20"/>
              </w:rPr>
              <w:t>1 827,1</w:t>
            </w:r>
          </w:p>
        </w:tc>
        <w:tc>
          <w:tcPr>
            <w:tcW w:w="692" w:type="pct"/>
            <w:shd w:val="clear" w:color="auto" w:fill="auto"/>
            <w:noWrap/>
            <w:vAlign w:val="center"/>
          </w:tcPr>
          <w:p w:rsidR="00934D77" w:rsidRPr="003C68DF" w:rsidRDefault="00934D77" w:rsidP="00934D77">
            <w:pPr>
              <w:spacing w:after="0" w:line="240" w:lineRule="auto"/>
              <w:jc w:val="center"/>
              <w:rPr>
                <w:rFonts w:asciiTheme="minorHAnsi" w:hAnsiTheme="minorHAnsi"/>
                <w:b/>
                <w:bCs/>
                <w:i/>
                <w:iCs/>
                <w:sz w:val="20"/>
                <w:szCs w:val="20"/>
              </w:rPr>
            </w:pPr>
            <w:r w:rsidRPr="003C68DF">
              <w:rPr>
                <w:rFonts w:asciiTheme="minorHAnsi" w:hAnsiTheme="minorHAnsi"/>
                <w:b/>
                <w:bCs/>
                <w:i/>
                <w:iCs/>
                <w:sz w:val="20"/>
                <w:szCs w:val="20"/>
              </w:rPr>
              <w:t>100,00</w:t>
            </w:r>
          </w:p>
        </w:tc>
        <w:tc>
          <w:tcPr>
            <w:tcW w:w="695" w:type="pct"/>
            <w:shd w:val="clear" w:color="auto" w:fill="auto"/>
            <w:noWrap/>
            <w:vAlign w:val="center"/>
          </w:tcPr>
          <w:p w:rsidR="00934D77" w:rsidRPr="003C68DF" w:rsidRDefault="00934D77" w:rsidP="00934D77">
            <w:pPr>
              <w:spacing w:after="0" w:line="240" w:lineRule="auto"/>
              <w:jc w:val="center"/>
              <w:rPr>
                <w:rFonts w:asciiTheme="minorHAnsi" w:hAnsiTheme="minorHAnsi"/>
                <w:b/>
                <w:bCs/>
                <w:sz w:val="20"/>
                <w:szCs w:val="20"/>
              </w:rPr>
            </w:pPr>
            <w:r w:rsidRPr="003C68DF">
              <w:rPr>
                <w:rFonts w:asciiTheme="minorHAnsi" w:hAnsiTheme="minorHAnsi"/>
                <w:b/>
                <w:bCs/>
                <w:sz w:val="20"/>
                <w:szCs w:val="20"/>
              </w:rPr>
              <w:t>- 27,9</w:t>
            </w:r>
          </w:p>
        </w:tc>
        <w:tc>
          <w:tcPr>
            <w:tcW w:w="613" w:type="pct"/>
            <w:shd w:val="clear" w:color="auto" w:fill="auto"/>
            <w:noWrap/>
            <w:vAlign w:val="center"/>
          </w:tcPr>
          <w:p w:rsidR="00934D77" w:rsidRPr="003C68DF" w:rsidRDefault="00934D77" w:rsidP="00934D77">
            <w:pPr>
              <w:spacing w:after="0" w:line="240" w:lineRule="auto"/>
              <w:jc w:val="center"/>
              <w:rPr>
                <w:rFonts w:asciiTheme="minorHAnsi" w:hAnsiTheme="minorHAnsi"/>
                <w:b/>
                <w:bCs/>
                <w:i/>
                <w:iCs/>
                <w:sz w:val="20"/>
                <w:szCs w:val="20"/>
              </w:rPr>
            </w:pPr>
            <w:r w:rsidRPr="003C68DF">
              <w:rPr>
                <w:rFonts w:asciiTheme="minorHAnsi" w:hAnsiTheme="minorHAnsi"/>
                <w:b/>
                <w:bCs/>
                <w:i/>
                <w:iCs/>
                <w:sz w:val="20"/>
                <w:szCs w:val="20"/>
              </w:rPr>
              <w:t>98,5</w:t>
            </w:r>
          </w:p>
        </w:tc>
      </w:tr>
      <w:tr w:rsidR="003E6B74" w:rsidRPr="003C68DF" w:rsidTr="003C68DF">
        <w:trPr>
          <w:trHeight w:val="426"/>
        </w:trPr>
        <w:tc>
          <w:tcPr>
            <w:tcW w:w="1309" w:type="pct"/>
            <w:shd w:val="clear" w:color="auto" w:fill="auto"/>
            <w:noWrap/>
            <w:hideMark/>
          </w:tcPr>
          <w:p w:rsidR="00934D77" w:rsidRPr="003C68DF" w:rsidRDefault="00934D77" w:rsidP="00934D77">
            <w:pPr>
              <w:spacing w:after="0" w:line="240" w:lineRule="auto"/>
              <w:rPr>
                <w:rFonts w:asciiTheme="minorHAnsi" w:hAnsiTheme="minorHAnsi"/>
                <w:sz w:val="20"/>
                <w:szCs w:val="20"/>
              </w:rPr>
            </w:pPr>
            <w:r w:rsidRPr="003C68DF">
              <w:rPr>
                <w:rFonts w:asciiTheme="minorHAnsi" w:hAnsiTheme="minorHAnsi"/>
                <w:sz w:val="20"/>
                <w:szCs w:val="20"/>
              </w:rPr>
              <w:t>a/ cele bytowe - grupa I i II</w:t>
            </w:r>
          </w:p>
        </w:tc>
        <w:tc>
          <w:tcPr>
            <w:tcW w:w="508" w:type="pct"/>
            <w:shd w:val="clear" w:color="auto" w:fill="auto"/>
            <w:noWrap/>
            <w:vAlign w:val="center"/>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1 681,5</w:t>
            </w:r>
          </w:p>
        </w:tc>
        <w:tc>
          <w:tcPr>
            <w:tcW w:w="675" w:type="pct"/>
            <w:shd w:val="clear" w:color="auto" w:fill="auto"/>
            <w:noWrap/>
            <w:vAlign w:val="center"/>
          </w:tcPr>
          <w:p w:rsidR="00934D77" w:rsidRPr="003C68DF" w:rsidRDefault="00934D77" w:rsidP="00934D77">
            <w:pPr>
              <w:spacing w:after="0" w:line="240" w:lineRule="auto"/>
              <w:jc w:val="center"/>
              <w:rPr>
                <w:rFonts w:asciiTheme="minorHAnsi" w:hAnsiTheme="minorHAnsi"/>
                <w:i/>
                <w:iCs/>
                <w:sz w:val="20"/>
                <w:szCs w:val="20"/>
              </w:rPr>
            </w:pPr>
            <w:r w:rsidRPr="003C68DF">
              <w:rPr>
                <w:rFonts w:asciiTheme="minorHAnsi" w:hAnsiTheme="minorHAnsi"/>
                <w:i/>
                <w:iCs/>
                <w:sz w:val="20"/>
                <w:szCs w:val="20"/>
              </w:rPr>
              <w:t>93,5</w:t>
            </w:r>
          </w:p>
        </w:tc>
        <w:tc>
          <w:tcPr>
            <w:tcW w:w="508" w:type="pct"/>
            <w:shd w:val="clear" w:color="auto" w:fill="auto"/>
            <w:noWrap/>
            <w:vAlign w:val="center"/>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1 696,9</w:t>
            </w:r>
          </w:p>
        </w:tc>
        <w:tc>
          <w:tcPr>
            <w:tcW w:w="692" w:type="pct"/>
            <w:shd w:val="clear" w:color="auto" w:fill="auto"/>
            <w:noWrap/>
            <w:vAlign w:val="center"/>
          </w:tcPr>
          <w:p w:rsidR="00934D77" w:rsidRPr="003C68DF" w:rsidRDefault="00934D77" w:rsidP="00934D77">
            <w:pPr>
              <w:spacing w:after="0" w:line="240" w:lineRule="auto"/>
              <w:jc w:val="center"/>
              <w:rPr>
                <w:rFonts w:asciiTheme="minorHAnsi" w:hAnsiTheme="minorHAnsi"/>
                <w:i/>
                <w:iCs/>
                <w:sz w:val="20"/>
                <w:szCs w:val="20"/>
              </w:rPr>
            </w:pPr>
            <w:r w:rsidRPr="003C68DF">
              <w:rPr>
                <w:rFonts w:asciiTheme="minorHAnsi" w:hAnsiTheme="minorHAnsi"/>
                <w:i/>
                <w:iCs/>
                <w:sz w:val="20"/>
                <w:szCs w:val="20"/>
              </w:rPr>
              <w:t>92,9</w:t>
            </w:r>
          </w:p>
        </w:tc>
        <w:tc>
          <w:tcPr>
            <w:tcW w:w="695" w:type="pct"/>
            <w:shd w:val="clear" w:color="auto" w:fill="auto"/>
            <w:noWrap/>
            <w:vAlign w:val="center"/>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- 15,4</w:t>
            </w:r>
          </w:p>
        </w:tc>
        <w:tc>
          <w:tcPr>
            <w:tcW w:w="613" w:type="pct"/>
            <w:shd w:val="clear" w:color="auto" w:fill="auto"/>
            <w:noWrap/>
            <w:vAlign w:val="center"/>
          </w:tcPr>
          <w:p w:rsidR="00934D77" w:rsidRPr="003C68DF" w:rsidRDefault="00934D77" w:rsidP="00934D77">
            <w:pPr>
              <w:spacing w:after="0" w:line="240" w:lineRule="auto"/>
              <w:jc w:val="center"/>
              <w:rPr>
                <w:rFonts w:asciiTheme="minorHAnsi" w:hAnsiTheme="minorHAnsi"/>
                <w:i/>
                <w:iCs/>
                <w:sz w:val="20"/>
                <w:szCs w:val="20"/>
              </w:rPr>
            </w:pPr>
            <w:r w:rsidRPr="003C68DF">
              <w:rPr>
                <w:rFonts w:asciiTheme="minorHAnsi" w:hAnsiTheme="minorHAnsi"/>
                <w:i/>
                <w:iCs/>
                <w:sz w:val="20"/>
                <w:szCs w:val="20"/>
              </w:rPr>
              <w:t>99,1</w:t>
            </w:r>
          </w:p>
        </w:tc>
      </w:tr>
      <w:tr w:rsidR="003E6B74" w:rsidRPr="003C68DF" w:rsidTr="003C68DF">
        <w:trPr>
          <w:trHeight w:val="417"/>
        </w:trPr>
        <w:tc>
          <w:tcPr>
            <w:tcW w:w="1309" w:type="pct"/>
            <w:shd w:val="clear" w:color="auto" w:fill="auto"/>
            <w:noWrap/>
            <w:hideMark/>
          </w:tcPr>
          <w:p w:rsidR="00934D77" w:rsidRPr="003C68DF" w:rsidRDefault="00934D77" w:rsidP="00934D77">
            <w:pPr>
              <w:spacing w:after="0" w:line="240" w:lineRule="auto"/>
              <w:rPr>
                <w:rFonts w:asciiTheme="minorHAnsi" w:hAnsiTheme="minorHAnsi"/>
                <w:sz w:val="20"/>
                <w:szCs w:val="20"/>
              </w:rPr>
            </w:pPr>
            <w:r w:rsidRPr="003C68DF">
              <w:rPr>
                <w:rFonts w:asciiTheme="minorHAnsi" w:hAnsiTheme="minorHAnsi"/>
                <w:sz w:val="20"/>
                <w:szCs w:val="20"/>
              </w:rPr>
              <w:t>b/ cele produkcyjne</w:t>
            </w:r>
          </w:p>
        </w:tc>
        <w:tc>
          <w:tcPr>
            <w:tcW w:w="508" w:type="pct"/>
            <w:shd w:val="clear" w:color="auto" w:fill="auto"/>
            <w:noWrap/>
            <w:vAlign w:val="center"/>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117,7</w:t>
            </w:r>
          </w:p>
        </w:tc>
        <w:tc>
          <w:tcPr>
            <w:tcW w:w="675" w:type="pct"/>
            <w:shd w:val="clear" w:color="auto" w:fill="auto"/>
            <w:noWrap/>
            <w:vAlign w:val="center"/>
          </w:tcPr>
          <w:p w:rsidR="00934D77" w:rsidRPr="003C68DF" w:rsidRDefault="00934D77" w:rsidP="00934D77">
            <w:pPr>
              <w:spacing w:after="0" w:line="240" w:lineRule="auto"/>
              <w:jc w:val="center"/>
              <w:rPr>
                <w:rFonts w:asciiTheme="minorHAnsi" w:hAnsiTheme="minorHAnsi"/>
                <w:i/>
                <w:iCs/>
                <w:sz w:val="20"/>
                <w:szCs w:val="20"/>
              </w:rPr>
            </w:pPr>
            <w:r w:rsidRPr="003C68DF">
              <w:rPr>
                <w:rFonts w:asciiTheme="minorHAnsi" w:hAnsiTheme="minorHAnsi"/>
                <w:i/>
                <w:iCs/>
                <w:sz w:val="20"/>
                <w:szCs w:val="20"/>
              </w:rPr>
              <w:t>6,5</w:t>
            </w:r>
          </w:p>
        </w:tc>
        <w:tc>
          <w:tcPr>
            <w:tcW w:w="508" w:type="pct"/>
            <w:shd w:val="clear" w:color="auto" w:fill="auto"/>
            <w:noWrap/>
            <w:vAlign w:val="center"/>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130,2</w:t>
            </w:r>
          </w:p>
        </w:tc>
        <w:tc>
          <w:tcPr>
            <w:tcW w:w="692" w:type="pct"/>
            <w:shd w:val="clear" w:color="auto" w:fill="auto"/>
            <w:noWrap/>
            <w:vAlign w:val="center"/>
          </w:tcPr>
          <w:p w:rsidR="00934D77" w:rsidRPr="003C68DF" w:rsidRDefault="00934D77" w:rsidP="00934D77">
            <w:pPr>
              <w:spacing w:after="0" w:line="240" w:lineRule="auto"/>
              <w:jc w:val="center"/>
              <w:rPr>
                <w:rFonts w:asciiTheme="minorHAnsi" w:hAnsiTheme="minorHAnsi"/>
                <w:i/>
                <w:iCs/>
                <w:sz w:val="20"/>
                <w:szCs w:val="20"/>
              </w:rPr>
            </w:pPr>
            <w:r w:rsidRPr="003C68DF">
              <w:rPr>
                <w:rFonts w:asciiTheme="minorHAnsi" w:hAnsiTheme="minorHAnsi"/>
                <w:i/>
                <w:iCs/>
                <w:sz w:val="20"/>
                <w:szCs w:val="20"/>
              </w:rPr>
              <w:t>7,1</w:t>
            </w:r>
          </w:p>
        </w:tc>
        <w:tc>
          <w:tcPr>
            <w:tcW w:w="695" w:type="pct"/>
            <w:shd w:val="clear" w:color="auto" w:fill="auto"/>
            <w:noWrap/>
            <w:vAlign w:val="center"/>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-12,5</w:t>
            </w:r>
          </w:p>
        </w:tc>
        <w:tc>
          <w:tcPr>
            <w:tcW w:w="613" w:type="pct"/>
            <w:shd w:val="clear" w:color="auto" w:fill="auto"/>
            <w:noWrap/>
            <w:vAlign w:val="center"/>
          </w:tcPr>
          <w:p w:rsidR="00934D77" w:rsidRPr="003C68DF" w:rsidRDefault="00934D77" w:rsidP="00934D77">
            <w:pPr>
              <w:spacing w:after="0" w:line="240" w:lineRule="auto"/>
              <w:jc w:val="center"/>
              <w:rPr>
                <w:rFonts w:asciiTheme="minorHAnsi" w:hAnsiTheme="minorHAnsi"/>
                <w:i/>
                <w:iCs/>
                <w:sz w:val="20"/>
                <w:szCs w:val="20"/>
              </w:rPr>
            </w:pPr>
            <w:r w:rsidRPr="003C68DF">
              <w:rPr>
                <w:rFonts w:asciiTheme="minorHAnsi" w:hAnsiTheme="minorHAnsi"/>
                <w:i/>
                <w:iCs/>
                <w:sz w:val="20"/>
                <w:szCs w:val="20"/>
              </w:rPr>
              <w:t>90,4</w:t>
            </w:r>
          </w:p>
        </w:tc>
      </w:tr>
    </w:tbl>
    <w:p w:rsidR="00934D77" w:rsidRPr="003E6B74" w:rsidRDefault="00934D77" w:rsidP="00934D77">
      <w:pPr>
        <w:spacing w:after="0" w:line="240" w:lineRule="auto"/>
        <w:jc w:val="both"/>
        <w:rPr>
          <w:rFonts w:asciiTheme="minorHAnsi" w:hAnsiTheme="minorHAnsi"/>
          <w:sz w:val="10"/>
        </w:rPr>
      </w:pPr>
    </w:p>
    <w:p w:rsidR="00934D77" w:rsidRPr="00BD17D6" w:rsidRDefault="00934D77" w:rsidP="00934D77">
      <w:pPr>
        <w:spacing w:after="0" w:line="240" w:lineRule="auto"/>
        <w:jc w:val="both"/>
        <w:rPr>
          <w:rFonts w:asciiTheme="minorHAnsi" w:hAnsiTheme="minorHAnsi"/>
          <w:sz w:val="24"/>
        </w:rPr>
      </w:pPr>
      <w:r w:rsidRPr="00BD17D6">
        <w:rPr>
          <w:rFonts w:asciiTheme="minorHAnsi" w:hAnsiTheme="minorHAnsi"/>
          <w:sz w:val="24"/>
        </w:rPr>
        <w:t>Największy spadek sprzedaży wody na cele bytowe odnotowano w Sieradzkiej Spółdzielni Mieszkaniowej – o 18,2 tys. m</w:t>
      </w:r>
      <w:r w:rsidRPr="00BD17D6">
        <w:rPr>
          <w:rFonts w:asciiTheme="minorHAnsi" w:hAnsiTheme="minorHAnsi"/>
          <w:sz w:val="24"/>
          <w:vertAlign w:val="superscript"/>
        </w:rPr>
        <w:t>3</w:t>
      </w:r>
      <w:r w:rsidRPr="00BD17D6">
        <w:rPr>
          <w:rFonts w:asciiTheme="minorHAnsi" w:hAnsiTheme="minorHAnsi"/>
          <w:sz w:val="24"/>
        </w:rPr>
        <w:t xml:space="preserve"> oraz budynki wielolokalowe będące w zarządzie Urzędu Miasta – spadek o 4,7 tys. m</w:t>
      </w:r>
      <w:r w:rsidRPr="00BD17D6">
        <w:rPr>
          <w:rFonts w:asciiTheme="minorHAnsi" w:hAnsiTheme="minorHAnsi"/>
          <w:sz w:val="24"/>
          <w:vertAlign w:val="superscript"/>
        </w:rPr>
        <w:t>3</w:t>
      </w:r>
      <w:r w:rsidRPr="00BD17D6">
        <w:rPr>
          <w:rFonts w:asciiTheme="minorHAnsi" w:hAnsiTheme="minorHAnsi"/>
          <w:sz w:val="24"/>
        </w:rPr>
        <w:t xml:space="preserve">. </w:t>
      </w:r>
    </w:p>
    <w:p w:rsidR="00934D77" w:rsidRPr="003C68DF" w:rsidRDefault="00934D77" w:rsidP="00934D77">
      <w:pPr>
        <w:spacing w:after="0" w:line="240" w:lineRule="auto"/>
        <w:rPr>
          <w:rFonts w:asciiTheme="minorHAnsi" w:hAnsiTheme="minorHAnsi"/>
          <w:sz w:val="10"/>
        </w:rPr>
      </w:pPr>
    </w:p>
    <w:p w:rsidR="00934D77" w:rsidRPr="003C68DF" w:rsidRDefault="00934D77" w:rsidP="003C68DF">
      <w:pPr>
        <w:spacing w:after="0" w:line="240" w:lineRule="auto"/>
        <w:jc w:val="right"/>
        <w:rPr>
          <w:rFonts w:asciiTheme="minorHAnsi" w:hAnsiTheme="minorHAnsi"/>
          <w:i/>
          <w:sz w:val="20"/>
          <w:szCs w:val="20"/>
        </w:rPr>
      </w:pPr>
      <w:r w:rsidRPr="003C68DF">
        <w:rPr>
          <w:rFonts w:asciiTheme="minorHAnsi" w:hAnsiTheme="minorHAnsi"/>
          <w:i/>
          <w:sz w:val="20"/>
          <w:szCs w:val="20"/>
        </w:rPr>
        <w:t>Sprzedaż z tytułu odprowadzania ścieków sieciowych w ujęciu rzeczowym w 2014 r. – w tys. m</w:t>
      </w:r>
      <w:r w:rsidRPr="003C68DF">
        <w:rPr>
          <w:rFonts w:asciiTheme="minorHAnsi" w:hAnsiTheme="minorHAnsi"/>
          <w:i/>
          <w:sz w:val="20"/>
          <w:szCs w:val="20"/>
          <w:vertAlign w:val="superscript"/>
        </w:rPr>
        <w:t>3</w:t>
      </w:r>
    </w:p>
    <w:p w:rsidR="00934D77" w:rsidRPr="00BD17D6" w:rsidRDefault="00934D77" w:rsidP="00934D77">
      <w:pPr>
        <w:spacing w:after="0" w:line="240" w:lineRule="auto"/>
        <w:rPr>
          <w:rFonts w:asciiTheme="minorHAnsi" w:hAnsiTheme="minorHAnsi"/>
          <w:sz w:val="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15"/>
        <w:gridCol w:w="834"/>
        <w:gridCol w:w="1254"/>
        <w:gridCol w:w="838"/>
        <w:gridCol w:w="1252"/>
        <w:gridCol w:w="1254"/>
        <w:gridCol w:w="1081"/>
      </w:tblGrid>
      <w:tr w:rsidR="00934D77" w:rsidRPr="003C68DF" w:rsidTr="008C654C">
        <w:trPr>
          <w:trHeight w:val="666"/>
        </w:trPr>
        <w:tc>
          <w:tcPr>
            <w:tcW w:w="1432" w:type="pct"/>
            <w:vMerge w:val="restart"/>
            <w:shd w:val="clear" w:color="auto" w:fill="auto"/>
            <w:tcMar>
              <w:left w:w="28" w:type="dxa"/>
              <w:right w:w="28" w:type="dxa"/>
            </w:tcMar>
            <w:vAlign w:val="center"/>
            <w:hideMark/>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Wyszczególnienie</w:t>
            </w:r>
          </w:p>
        </w:tc>
        <w:tc>
          <w:tcPr>
            <w:tcW w:w="1144" w:type="pct"/>
            <w:gridSpan w:val="2"/>
            <w:shd w:val="clear" w:color="auto" w:fill="auto"/>
            <w:tcMar>
              <w:left w:w="28" w:type="dxa"/>
              <w:right w:w="28" w:type="dxa"/>
            </w:tcMar>
            <w:vAlign w:val="center"/>
            <w:hideMark/>
          </w:tcPr>
          <w:p w:rsidR="00934D77" w:rsidRPr="003C68DF" w:rsidRDefault="00934D77" w:rsidP="00934D77">
            <w:pPr>
              <w:spacing w:after="0" w:line="240" w:lineRule="auto"/>
              <w:jc w:val="center"/>
              <w:rPr>
                <w:rFonts w:asciiTheme="minorHAnsi" w:hAnsiTheme="minorHAnsi"/>
                <w:b/>
                <w:bCs/>
                <w:sz w:val="20"/>
                <w:szCs w:val="20"/>
              </w:rPr>
            </w:pPr>
            <w:r w:rsidRPr="003C68DF">
              <w:rPr>
                <w:rFonts w:asciiTheme="minorHAnsi" w:hAnsiTheme="minorHAnsi"/>
                <w:b/>
                <w:bCs/>
                <w:sz w:val="20"/>
                <w:szCs w:val="20"/>
              </w:rPr>
              <w:t>Wykonanie za 2014 r.</w:t>
            </w:r>
          </w:p>
        </w:tc>
        <w:tc>
          <w:tcPr>
            <w:tcW w:w="1145" w:type="pct"/>
            <w:gridSpan w:val="2"/>
            <w:shd w:val="clear" w:color="auto" w:fill="auto"/>
            <w:tcMar>
              <w:left w:w="28" w:type="dxa"/>
              <w:right w:w="28" w:type="dxa"/>
            </w:tcMar>
            <w:vAlign w:val="center"/>
            <w:hideMark/>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Wykonanie za 2013 r.</w:t>
            </w:r>
          </w:p>
        </w:tc>
        <w:tc>
          <w:tcPr>
            <w:tcW w:w="687" w:type="pct"/>
            <w:shd w:val="clear" w:color="auto" w:fill="auto"/>
            <w:tcMar>
              <w:left w:w="28" w:type="dxa"/>
              <w:right w:w="28" w:type="dxa"/>
            </w:tcMar>
            <w:vAlign w:val="center"/>
            <w:hideMark/>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Odchylenie bezwzględne</w:t>
            </w:r>
          </w:p>
        </w:tc>
        <w:tc>
          <w:tcPr>
            <w:tcW w:w="592" w:type="pct"/>
            <w:shd w:val="clear" w:color="auto" w:fill="auto"/>
            <w:tcMar>
              <w:left w:w="28" w:type="dxa"/>
              <w:right w:w="28" w:type="dxa"/>
            </w:tcMar>
            <w:vAlign w:val="center"/>
            <w:hideMark/>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Dynamika %</w:t>
            </w:r>
          </w:p>
        </w:tc>
      </w:tr>
      <w:tr w:rsidR="003C68DF" w:rsidRPr="003C68DF" w:rsidTr="008C654C">
        <w:trPr>
          <w:trHeight w:val="260"/>
        </w:trPr>
        <w:tc>
          <w:tcPr>
            <w:tcW w:w="1432" w:type="pct"/>
            <w:vMerge/>
            <w:shd w:val="clear" w:color="auto" w:fill="auto"/>
            <w:tcMar>
              <w:left w:w="28" w:type="dxa"/>
              <w:right w:w="28" w:type="dxa"/>
            </w:tcMar>
            <w:hideMark/>
          </w:tcPr>
          <w:p w:rsidR="00934D77" w:rsidRPr="003C68DF" w:rsidRDefault="00934D77" w:rsidP="00934D77">
            <w:pPr>
              <w:spacing w:after="0" w:line="240" w:lineRule="auto"/>
              <w:jc w:val="center"/>
              <w:rPr>
                <w:rFonts w:asciiTheme="minorHAnsi" w:hAnsiTheme="minorHAnsi"/>
                <w:sz w:val="20"/>
                <w:szCs w:val="20"/>
              </w:rPr>
            </w:pPr>
          </w:p>
        </w:tc>
        <w:tc>
          <w:tcPr>
            <w:tcW w:w="457" w:type="pct"/>
            <w:shd w:val="clear" w:color="auto" w:fill="auto"/>
            <w:tcMar>
              <w:left w:w="28" w:type="dxa"/>
              <w:right w:w="28" w:type="dxa"/>
            </w:tcMar>
            <w:hideMark/>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ilość</w:t>
            </w:r>
          </w:p>
        </w:tc>
        <w:tc>
          <w:tcPr>
            <w:tcW w:w="687" w:type="pct"/>
            <w:shd w:val="clear" w:color="auto" w:fill="auto"/>
            <w:tcMar>
              <w:left w:w="28" w:type="dxa"/>
              <w:right w:w="28" w:type="dxa"/>
            </w:tcMar>
            <w:hideMark/>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struktura %</w:t>
            </w:r>
          </w:p>
        </w:tc>
        <w:tc>
          <w:tcPr>
            <w:tcW w:w="459" w:type="pct"/>
            <w:shd w:val="clear" w:color="auto" w:fill="auto"/>
            <w:tcMar>
              <w:left w:w="28" w:type="dxa"/>
              <w:right w:w="28" w:type="dxa"/>
            </w:tcMar>
            <w:hideMark/>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ilość</w:t>
            </w:r>
          </w:p>
        </w:tc>
        <w:tc>
          <w:tcPr>
            <w:tcW w:w="686" w:type="pct"/>
            <w:shd w:val="clear" w:color="auto" w:fill="auto"/>
            <w:tcMar>
              <w:left w:w="28" w:type="dxa"/>
              <w:right w:w="28" w:type="dxa"/>
            </w:tcMar>
            <w:hideMark/>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struktura %</w:t>
            </w:r>
          </w:p>
        </w:tc>
        <w:tc>
          <w:tcPr>
            <w:tcW w:w="687" w:type="pct"/>
            <w:shd w:val="clear" w:color="auto" w:fill="auto"/>
            <w:tcMar>
              <w:left w:w="28" w:type="dxa"/>
              <w:right w:w="28" w:type="dxa"/>
            </w:tcMar>
            <w:hideMark/>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(1-3)</w:t>
            </w:r>
          </w:p>
        </w:tc>
        <w:tc>
          <w:tcPr>
            <w:tcW w:w="592" w:type="pct"/>
            <w:shd w:val="clear" w:color="auto" w:fill="auto"/>
            <w:tcMar>
              <w:left w:w="28" w:type="dxa"/>
              <w:right w:w="28" w:type="dxa"/>
            </w:tcMar>
            <w:hideMark/>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(1:3)</w:t>
            </w:r>
          </w:p>
        </w:tc>
      </w:tr>
      <w:tr w:rsidR="003C68DF" w:rsidRPr="003C68DF" w:rsidTr="008C654C">
        <w:trPr>
          <w:trHeight w:val="292"/>
        </w:trPr>
        <w:tc>
          <w:tcPr>
            <w:tcW w:w="1432" w:type="pct"/>
            <w:shd w:val="clear" w:color="auto" w:fill="auto"/>
            <w:tcMar>
              <w:left w:w="28" w:type="dxa"/>
              <w:right w:w="28" w:type="dxa"/>
            </w:tcMar>
            <w:vAlign w:val="center"/>
            <w:hideMark/>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0.</w:t>
            </w:r>
          </w:p>
        </w:tc>
        <w:tc>
          <w:tcPr>
            <w:tcW w:w="457" w:type="pct"/>
            <w:shd w:val="clear" w:color="auto" w:fill="auto"/>
            <w:tcMar>
              <w:left w:w="28" w:type="dxa"/>
              <w:right w:w="28" w:type="dxa"/>
            </w:tcMar>
            <w:vAlign w:val="center"/>
            <w:hideMark/>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1.</w:t>
            </w:r>
          </w:p>
        </w:tc>
        <w:tc>
          <w:tcPr>
            <w:tcW w:w="687" w:type="pct"/>
            <w:shd w:val="clear" w:color="auto" w:fill="auto"/>
            <w:tcMar>
              <w:left w:w="28" w:type="dxa"/>
              <w:right w:w="28" w:type="dxa"/>
            </w:tcMar>
            <w:vAlign w:val="center"/>
            <w:hideMark/>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2.</w:t>
            </w:r>
          </w:p>
        </w:tc>
        <w:tc>
          <w:tcPr>
            <w:tcW w:w="459" w:type="pct"/>
            <w:shd w:val="clear" w:color="auto" w:fill="auto"/>
            <w:tcMar>
              <w:left w:w="28" w:type="dxa"/>
              <w:right w:w="28" w:type="dxa"/>
            </w:tcMar>
            <w:vAlign w:val="center"/>
            <w:hideMark/>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3.</w:t>
            </w:r>
          </w:p>
        </w:tc>
        <w:tc>
          <w:tcPr>
            <w:tcW w:w="686" w:type="pct"/>
            <w:shd w:val="clear" w:color="auto" w:fill="auto"/>
            <w:tcMar>
              <w:left w:w="28" w:type="dxa"/>
              <w:right w:w="28" w:type="dxa"/>
            </w:tcMar>
            <w:vAlign w:val="center"/>
            <w:hideMark/>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4.</w:t>
            </w:r>
          </w:p>
        </w:tc>
        <w:tc>
          <w:tcPr>
            <w:tcW w:w="687" w:type="pct"/>
            <w:shd w:val="clear" w:color="auto" w:fill="auto"/>
            <w:tcMar>
              <w:left w:w="28" w:type="dxa"/>
              <w:right w:w="28" w:type="dxa"/>
            </w:tcMar>
            <w:vAlign w:val="center"/>
            <w:hideMark/>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5.</w:t>
            </w:r>
          </w:p>
        </w:tc>
        <w:tc>
          <w:tcPr>
            <w:tcW w:w="592" w:type="pct"/>
            <w:shd w:val="clear" w:color="auto" w:fill="auto"/>
            <w:tcMar>
              <w:left w:w="28" w:type="dxa"/>
              <w:right w:w="28" w:type="dxa"/>
            </w:tcMar>
            <w:vAlign w:val="center"/>
            <w:hideMark/>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6.</w:t>
            </w:r>
          </w:p>
        </w:tc>
      </w:tr>
      <w:tr w:rsidR="003C68DF" w:rsidRPr="003C68DF" w:rsidTr="008C654C">
        <w:trPr>
          <w:trHeight w:val="828"/>
        </w:trPr>
        <w:tc>
          <w:tcPr>
            <w:tcW w:w="1432" w:type="pct"/>
            <w:shd w:val="clear" w:color="auto" w:fill="auto"/>
            <w:tcMar>
              <w:left w:w="28" w:type="dxa"/>
              <w:right w:w="28" w:type="dxa"/>
            </w:tcMar>
            <w:hideMark/>
          </w:tcPr>
          <w:p w:rsidR="00934D77" w:rsidRPr="003C68DF" w:rsidRDefault="00934D77" w:rsidP="00934D77">
            <w:pPr>
              <w:spacing w:after="0" w:line="240" w:lineRule="auto"/>
              <w:rPr>
                <w:rFonts w:asciiTheme="minorHAnsi" w:hAnsiTheme="minorHAnsi"/>
                <w:b/>
                <w:bCs/>
                <w:sz w:val="20"/>
                <w:szCs w:val="20"/>
              </w:rPr>
            </w:pPr>
            <w:r w:rsidRPr="003C68DF">
              <w:rPr>
                <w:rFonts w:asciiTheme="minorHAnsi" w:hAnsiTheme="minorHAnsi"/>
                <w:b/>
                <w:bCs/>
                <w:sz w:val="20"/>
                <w:szCs w:val="20"/>
              </w:rPr>
              <w:t>Sprzedaż z tytułu odprowadzania ścieków sieciowych, w tym:</w:t>
            </w:r>
          </w:p>
        </w:tc>
        <w:tc>
          <w:tcPr>
            <w:tcW w:w="457" w:type="pct"/>
            <w:shd w:val="clear" w:color="auto" w:fill="auto"/>
            <w:tcMar>
              <w:left w:w="28" w:type="dxa"/>
              <w:right w:w="28" w:type="dxa"/>
            </w:tcMar>
            <w:vAlign w:val="center"/>
          </w:tcPr>
          <w:p w:rsidR="00934D77" w:rsidRPr="003C68DF" w:rsidRDefault="00934D77" w:rsidP="00934D77">
            <w:pPr>
              <w:spacing w:after="0" w:line="240" w:lineRule="auto"/>
              <w:jc w:val="right"/>
              <w:rPr>
                <w:rFonts w:asciiTheme="minorHAnsi" w:hAnsiTheme="minorHAnsi"/>
                <w:b/>
                <w:bCs/>
                <w:sz w:val="20"/>
                <w:szCs w:val="20"/>
              </w:rPr>
            </w:pPr>
            <w:r w:rsidRPr="003C68DF">
              <w:rPr>
                <w:rFonts w:asciiTheme="minorHAnsi" w:hAnsiTheme="minorHAnsi"/>
                <w:b/>
                <w:bCs/>
                <w:sz w:val="20"/>
                <w:szCs w:val="20"/>
              </w:rPr>
              <w:t>1 757,9</w:t>
            </w:r>
          </w:p>
        </w:tc>
        <w:tc>
          <w:tcPr>
            <w:tcW w:w="687" w:type="pct"/>
            <w:shd w:val="clear" w:color="auto" w:fill="auto"/>
            <w:tcMar>
              <w:left w:w="28" w:type="dxa"/>
              <w:right w:w="28" w:type="dxa"/>
            </w:tcMar>
            <w:vAlign w:val="center"/>
          </w:tcPr>
          <w:p w:rsidR="00934D77" w:rsidRPr="003C68DF" w:rsidRDefault="00934D77" w:rsidP="00934D77">
            <w:pPr>
              <w:spacing w:after="0" w:line="240" w:lineRule="auto"/>
              <w:jc w:val="center"/>
              <w:rPr>
                <w:rFonts w:asciiTheme="minorHAnsi" w:hAnsiTheme="minorHAnsi"/>
                <w:b/>
                <w:bCs/>
                <w:i/>
                <w:iCs/>
                <w:sz w:val="20"/>
                <w:szCs w:val="20"/>
              </w:rPr>
            </w:pPr>
            <w:r w:rsidRPr="003C68DF">
              <w:rPr>
                <w:rFonts w:asciiTheme="minorHAnsi" w:hAnsiTheme="minorHAnsi"/>
                <w:b/>
                <w:bCs/>
                <w:i/>
                <w:iCs/>
                <w:sz w:val="20"/>
                <w:szCs w:val="20"/>
              </w:rPr>
              <w:t>100,00</w:t>
            </w:r>
          </w:p>
        </w:tc>
        <w:tc>
          <w:tcPr>
            <w:tcW w:w="459" w:type="pct"/>
            <w:shd w:val="clear" w:color="auto" w:fill="auto"/>
            <w:tcMar>
              <w:left w:w="28" w:type="dxa"/>
              <w:right w:w="28" w:type="dxa"/>
            </w:tcMar>
            <w:vAlign w:val="center"/>
          </w:tcPr>
          <w:p w:rsidR="00934D77" w:rsidRPr="003C68DF" w:rsidRDefault="00934D77" w:rsidP="00934D77">
            <w:pPr>
              <w:spacing w:after="0" w:line="240" w:lineRule="auto"/>
              <w:jc w:val="right"/>
              <w:rPr>
                <w:rFonts w:asciiTheme="minorHAnsi" w:hAnsiTheme="minorHAnsi"/>
                <w:b/>
                <w:bCs/>
                <w:sz w:val="20"/>
                <w:szCs w:val="20"/>
              </w:rPr>
            </w:pPr>
            <w:r w:rsidRPr="003C68DF">
              <w:rPr>
                <w:rFonts w:asciiTheme="minorHAnsi" w:hAnsiTheme="minorHAnsi"/>
                <w:b/>
                <w:bCs/>
                <w:sz w:val="20"/>
                <w:szCs w:val="20"/>
              </w:rPr>
              <w:t>1 732,0</w:t>
            </w:r>
          </w:p>
        </w:tc>
        <w:tc>
          <w:tcPr>
            <w:tcW w:w="686" w:type="pct"/>
            <w:shd w:val="clear" w:color="auto" w:fill="auto"/>
            <w:tcMar>
              <w:left w:w="28" w:type="dxa"/>
              <w:right w:w="28" w:type="dxa"/>
            </w:tcMar>
            <w:vAlign w:val="center"/>
          </w:tcPr>
          <w:p w:rsidR="00934D77" w:rsidRPr="003C68DF" w:rsidRDefault="00934D77" w:rsidP="00934D77">
            <w:pPr>
              <w:spacing w:after="0" w:line="240" w:lineRule="auto"/>
              <w:jc w:val="center"/>
              <w:rPr>
                <w:rFonts w:asciiTheme="minorHAnsi" w:hAnsiTheme="minorHAnsi"/>
                <w:b/>
                <w:bCs/>
                <w:i/>
                <w:iCs/>
                <w:sz w:val="20"/>
                <w:szCs w:val="20"/>
              </w:rPr>
            </w:pPr>
            <w:r w:rsidRPr="003C68DF">
              <w:rPr>
                <w:rFonts w:asciiTheme="minorHAnsi" w:hAnsiTheme="minorHAnsi"/>
                <w:b/>
                <w:bCs/>
                <w:i/>
                <w:iCs/>
                <w:sz w:val="20"/>
                <w:szCs w:val="20"/>
              </w:rPr>
              <w:t>100,00</w:t>
            </w:r>
          </w:p>
        </w:tc>
        <w:tc>
          <w:tcPr>
            <w:tcW w:w="687" w:type="pct"/>
            <w:shd w:val="clear" w:color="auto" w:fill="auto"/>
            <w:tcMar>
              <w:left w:w="28" w:type="dxa"/>
              <w:right w:w="28" w:type="dxa"/>
            </w:tcMar>
            <w:vAlign w:val="center"/>
            <w:hideMark/>
          </w:tcPr>
          <w:p w:rsidR="00934D77" w:rsidRPr="003C68DF" w:rsidRDefault="00934D77" w:rsidP="00934D77">
            <w:pPr>
              <w:spacing w:after="0" w:line="240" w:lineRule="auto"/>
              <w:jc w:val="center"/>
              <w:rPr>
                <w:rFonts w:asciiTheme="minorHAnsi" w:hAnsiTheme="minorHAnsi"/>
                <w:b/>
                <w:bCs/>
                <w:sz w:val="20"/>
                <w:szCs w:val="20"/>
              </w:rPr>
            </w:pPr>
            <w:r w:rsidRPr="003C68DF">
              <w:rPr>
                <w:rFonts w:asciiTheme="minorHAnsi" w:hAnsiTheme="minorHAnsi"/>
                <w:b/>
                <w:bCs/>
                <w:sz w:val="20"/>
                <w:szCs w:val="20"/>
              </w:rPr>
              <w:t>25,9</w:t>
            </w:r>
          </w:p>
        </w:tc>
        <w:tc>
          <w:tcPr>
            <w:tcW w:w="592" w:type="pct"/>
            <w:shd w:val="clear" w:color="auto" w:fill="auto"/>
            <w:tcMar>
              <w:left w:w="28" w:type="dxa"/>
              <w:right w:w="28" w:type="dxa"/>
            </w:tcMar>
            <w:vAlign w:val="center"/>
            <w:hideMark/>
          </w:tcPr>
          <w:p w:rsidR="00934D77" w:rsidRPr="003C68DF" w:rsidRDefault="00934D77" w:rsidP="00934D77">
            <w:pPr>
              <w:spacing w:after="0" w:line="240" w:lineRule="auto"/>
              <w:jc w:val="center"/>
              <w:rPr>
                <w:rFonts w:asciiTheme="minorHAnsi" w:hAnsiTheme="minorHAnsi"/>
                <w:b/>
                <w:bCs/>
                <w:i/>
                <w:iCs/>
                <w:sz w:val="20"/>
                <w:szCs w:val="20"/>
              </w:rPr>
            </w:pPr>
            <w:r w:rsidRPr="003C68DF">
              <w:rPr>
                <w:rFonts w:asciiTheme="minorHAnsi" w:hAnsiTheme="minorHAnsi"/>
                <w:b/>
                <w:bCs/>
                <w:i/>
                <w:iCs/>
                <w:sz w:val="20"/>
                <w:szCs w:val="20"/>
              </w:rPr>
              <w:t>101,5</w:t>
            </w:r>
          </w:p>
        </w:tc>
      </w:tr>
      <w:tr w:rsidR="003C68DF" w:rsidRPr="003C68DF" w:rsidTr="008C654C">
        <w:trPr>
          <w:trHeight w:val="370"/>
        </w:trPr>
        <w:tc>
          <w:tcPr>
            <w:tcW w:w="1432" w:type="pct"/>
            <w:shd w:val="clear" w:color="auto" w:fill="auto"/>
            <w:tcMar>
              <w:left w:w="28" w:type="dxa"/>
              <w:right w:w="28" w:type="dxa"/>
            </w:tcMar>
            <w:hideMark/>
          </w:tcPr>
          <w:p w:rsidR="00934D77" w:rsidRPr="003C68DF" w:rsidRDefault="008C654C" w:rsidP="008C654C">
            <w:pPr>
              <w:spacing w:after="0" w:line="240" w:lineRule="auto"/>
              <w:rPr>
                <w:rFonts w:asciiTheme="minorHAnsi" w:hAnsiTheme="minorHAnsi"/>
                <w:sz w:val="20"/>
                <w:szCs w:val="20"/>
              </w:rPr>
            </w:pPr>
            <w:r>
              <w:rPr>
                <w:rFonts w:asciiTheme="minorHAnsi" w:hAnsiTheme="minorHAnsi"/>
                <w:sz w:val="20"/>
                <w:szCs w:val="20"/>
              </w:rPr>
              <w:t xml:space="preserve">a/ dostawcy bytowi- </w:t>
            </w:r>
            <w:r w:rsidR="00934D77" w:rsidRPr="003C68DF">
              <w:rPr>
                <w:rFonts w:asciiTheme="minorHAnsi" w:hAnsiTheme="minorHAnsi"/>
                <w:sz w:val="20"/>
                <w:szCs w:val="20"/>
              </w:rPr>
              <w:t>grupa I i II</w:t>
            </w:r>
          </w:p>
        </w:tc>
        <w:tc>
          <w:tcPr>
            <w:tcW w:w="457" w:type="pct"/>
            <w:shd w:val="clear" w:color="auto" w:fill="auto"/>
            <w:tcMar>
              <w:left w:w="28" w:type="dxa"/>
              <w:right w:w="28" w:type="dxa"/>
            </w:tcMar>
            <w:vAlign w:val="center"/>
          </w:tcPr>
          <w:p w:rsidR="00934D77" w:rsidRPr="003C68DF" w:rsidRDefault="00934D77" w:rsidP="00934D77">
            <w:pPr>
              <w:spacing w:after="0" w:line="240" w:lineRule="auto"/>
              <w:jc w:val="right"/>
              <w:rPr>
                <w:rFonts w:asciiTheme="minorHAnsi" w:hAnsiTheme="minorHAnsi"/>
                <w:sz w:val="20"/>
                <w:szCs w:val="20"/>
              </w:rPr>
            </w:pPr>
            <w:r w:rsidRPr="003C68DF">
              <w:rPr>
                <w:rFonts w:asciiTheme="minorHAnsi" w:hAnsiTheme="minorHAnsi"/>
                <w:sz w:val="20"/>
                <w:szCs w:val="20"/>
              </w:rPr>
              <w:t>1 488,0</w:t>
            </w:r>
          </w:p>
        </w:tc>
        <w:tc>
          <w:tcPr>
            <w:tcW w:w="687" w:type="pct"/>
            <w:shd w:val="clear" w:color="auto" w:fill="auto"/>
            <w:tcMar>
              <w:left w:w="28" w:type="dxa"/>
              <w:right w:w="28" w:type="dxa"/>
            </w:tcMar>
            <w:vAlign w:val="center"/>
          </w:tcPr>
          <w:p w:rsidR="00934D77" w:rsidRPr="003C68DF" w:rsidRDefault="00934D77" w:rsidP="00934D77">
            <w:pPr>
              <w:spacing w:after="0" w:line="240" w:lineRule="auto"/>
              <w:jc w:val="center"/>
              <w:rPr>
                <w:rFonts w:asciiTheme="minorHAnsi" w:hAnsiTheme="minorHAnsi"/>
                <w:i/>
                <w:iCs/>
                <w:sz w:val="20"/>
                <w:szCs w:val="20"/>
              </w:rPr>
            </w:pPr>
            <w:r w:rsidRPr="003C68DF">
              <w:rPr>
                <w:rFonts w:asciiTheme="minorHAnsi" w:hAnsiTheme="minorHAnsi"/>
                <w:i/>
                <w:iCs/>
                <w:sz w:val="20"/>
                <w:szCs w:val="20"/>
              </w:rPr>
              <w:t>84,6</w:t>
            </w:r>
          </w:p>
        </w:tc>
        <w:tc>
          <w:tcPr>
            <w:tcW w:w="459" w:type="pct"/>
            <w:shd w:val="clear" w:color="auto" w:fill="auto"/>
            <w:tcMar>
              <w:left w:w="28" w:type="dxa"/>
              <w:right w:w="28" w:type="dxa"/>
            </w:tcMar>
            <w:vAlign w:val="center"/>
          </w:tcPr>
          <w:p w:rsidR="00934D77" w:rsidRPr="003C68DF" w:rsidRDefault="00934D77" w:rsidP="00934D77">
            <w:pPr>
              <w:spacing w:after="0" w:line="240" w:lineRule="auto"/>
              <w:jc w:val="right"/>
              <w:rPr>
                <w:rFonts w:asciiTheme="minorHAnsi" w:hAnsiTheme="minorHAnsi"/>
                <w:sz w:val="20"/>
                <w:szCs w:val="20"/>
              </w:rPr>
            </w:pPr>
            <w:r w:rsidRPr="003C68DF">
              <w:rPr>
                <w:rFonts w:asciiTheme="minorHAnsi" w:hAnsiTheme="minorHAnsi"/>
                <w:sz w:val="20"/>
                <w:szCs w:val="20"/>
              </w:rPr>
              <w:t>1 466,3</w:t>
            </w:r>
          </w:p>
        </w:tc>
        <w:tc>
          <w:tcPr>
            <w:tcW w:w="686" w:type="pct"/>
            <w:shd w:val="clear" w:color="auto" w:fill="auto"/>
            <w:tcMar>
              <w:left w:w="28" w:type="dxa"/>
              <w:right w:w="28" w:type="dxa"/>
            </w:tcMar>
            <w:vAlign w:val="center"/>
          </w:tcPr>
          <w:p w:rsidR="00934D77" w:rsidRPr="003C68DF" w:rsidRDefault="00934D77" w:rsidP="00934D77">
            <w:pPr>
              <w:spacing w:after="0" w:line="240" w:lineRule="auto"/>
              <w:jc w:val="center"/>
              <w:rPr>
                <w:rFonts w:asciiTheme="minorHAnsi" w:hAnsiTheme="minorHAnsi"/>
                <w:i/>
                <w:iCs/>
                <w:sz w:val="20"/>
                <w:szCs w:val="20"/>
              </w:rPr>
            </w:pPr>
            <w:r w:rsidRPr="003C68DF">
              <w:rPr>
                <w:rFonts w:asciiTheme="minorHAnsi" w:hAnsiTheme="minorHAnsi"/>
                <w:i/>
                <w:iCs/>
                <w:sz w:val="20"/>
                <w:szCs w:val="20"/>
              </w:rPr>
              <w:t>84,7</w:t>
            </w:r>
          </w:p>
        </w:tc>
        <w:tc>
          <w:tcPr>
            <w:tcW w:w="687" w:type="pct"/>
            <w:shd w:val="clear" w:color="auto" w:fill="auto"/>
            <w:tcMar>
              <w:left w:w="28" w:type="dxa"/>
              <w:right w:w="28" w:type="dxa"/>
            </w:tcMar>
            <w:vAlign w:val="center"/>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21,7</w:t>
            </w:r>
          </w:p>
        </w:tc>
        <w:tc>
          <w:tcPr>
            <w:tcW w:w="592" w:type="pct"/>
            <w:shd w:val="clear" w:color="auto" w:fill="auto"/>
            <w:tcMar>
              <w:left w:w="28" w:type="dxa"/>
              <w:right w:w="28" w:type="dxa"/>
            </w:tcMar>
            <w:vAlign w:val="center"/>
          </w:tcPr>
          <w:p w:rsidR="00934D77" w:rsidRPr="003C68DF" w:rsidRDefault="00934D77" w:rsidP="00934D77">
            <w:pPr>
              <w:spacing w:after="0" w:line="240" w:lineRule="auto"/>
              <w:jc w:val="center"/>
              <w:rPr>
                <w:rFonts w:asciiTheme="minorHAnsi" w:hAnsiTheme="minorHAnsi"/>
                <w:i/>
                <w:iCs/>
                <w:sz w:val="20"/>
                <w:szCs w:val="20"/>
              </w:rPr>
            </w:pPr>
            <w:r w:rsidRPr="003C68DF">
              <w:rPr>
                <w:rFonts w:asciiTheme="minorHAnsi" w:hAnsiTheme="minorHAnsi"/>
                <w:i/>
                <w:iCs/>
                <w:sz w:val="20"/>
                <w:szCs w:val="20"/>
              </w:rPr>
              <w:t>101.5</w:t>
            </w:r>
          </w:p>
        </w:tc>
      </w:tr>
      <w:tr w:rsidR="003C68DF" w:rsidRPr="003C68DF" w:rsidTr="008C654C">
        <w:trPr>
          <w:trHeight w:val="289"/>
        </w:trPr>
        <w:tc>
          <w:tcPr>
            <w:tcW w:w="1432" w:type="pct"/>
            <w:shd w:val="clear" w:color="auto" w:fill="auto"/>
            <w:tcMar>
              <w:left w:w="28" w:type="dxa"/>
              <w:right w:w="28" w:type="dxa"/>
            </w:tcMar>
            <w:hideMark/>
          </w:tcPr>
          <w:p w:rsidR="00934D77" w:rsidRPr="003C68DF" w:rsidRDefault="00934D77" w:rsidP="00934D77">
            <w:pPr>
              <w:spacing w:after="0" w:line="240" w:lineRule="auto"/>
              <w:rPr>
                <w:rFonts w:asciiTheme="minorHAnsi" w:hAnsiTheme="minorHAnsi"/>
                <w:sz w:val="20"/>
                <w:szCs w:val="20"/>
              </w:rPr>
            </w:pPr>
            <w:r w:rsidRPr="003C68DF">
              <w:rPr>
                <w:rFonts w:asciiTheme="minorHAnsi" w:hAnsiTheme="minorHAnsi"/>
                <w:sz w:val="20"/>
                <w:szCs w:val="20"/>
              </w:rPr>
              <w:t>b/ przemysł</w:t>
            </w:r>
          </w:p>
        </w:tc>
        <w:tc>
          <w:tcPr>
            <w:tcW w:w="457" w:type="pct"/>
            <w:shd w:val="clear" w:color="auto" w:fill="auto"/>
            <w:tcMar>
              <w:left w:w="28" w:type="dxa"/>
              <w:right w:w="28" w:type="dxa"/>
            </w:tcMar>
            <w:vAlign w:val="center"/>
          </w:tcPr>
          <w:p w:rsidR="00934D77" w:rsidRPr="003C68DF" w:rsidRDefault="00934D77" w:rsidP="00934D77">
            <w:pPr>
              <w:spacing w:after="0" w:line="240" w:lineRule="auto"/>
              <w:jc w:val="right"/>
              <w:rPr>
                <w:rFonts w:asciiTheme="minorHAnsi" w:hAnsiTheme="minorHAnsi"/>
                <w:sz w:val="20"/>
                <w:szCs w:val="20"/>
              </w:rPr>
            </w:pPr>
            <w:r w:rsidRPr="003C68DF">
              <w:rPr>
                <w:rFonts w:asciiTheme="minorHAnsi" w:hAnsiTheme="minorHAnsi"/>
                <w:sz w:val="20"/>
                <w:szCs w:val="20"/>
              </w:rPr>
              <w:t>269,9</w:t>
            </w:r>
          </w:p>
        </w:tc>
        <w:tc>
          <w:tcPr>
            <w:tcW w:w="687" w:type="pct"/>
            <w:shd w:val="clear" w:color="auto" w:fill="auto"/>
            <w:tcMar>
              <w:left w:w="28" w:type="dxa"/>
              <w:right w:w="28" w:type="dxa"/>
            </w:tcMar>
            <w:vAlign w:val="center"/>
          </w:tcPr>
          <w:p w:rsidR="00934D77" w:rsidRPr="003C68DF" w:rsidRDefault="00934D77" w:rsidP="00934D77">
            <w:pPr>
              <w:spacing w:after="0" w:line="240" w:lineRule="auto"/>
              <w:jc w:val="center"/>
              <w:rPr>
                <w:rFonts w:asciiTheme="minorHAnsi" w:hAnsiTheme="minorHAnsi"/>
                <w:i/>
                <w:iCs/>
                <w:sz w:val="20"/>
                <w:szCs w:val="20"/>
              </w:rPr>
            </w:pPr>
            <w:r w:rsidRPr="003C68DF">
              <w:rPr>
                <w:rFonts w:asciiTheme="minorHAnsi" w:hAnsiTheme="minorHAnsi"/>
                <w:i/>
                <w:iCs/>
                <w:sz w:val="20"/>
                <w:szCs w:val="20"/>
              </w:rPr>
              <w:t>15,4</w:t>
            </w:r>
          </w:p>
        </w:tc>
        <w:tc>
          <w:tcPr>
            <w:tcW w:w="459" w:type="pct"/>
            <w:shd w:val="clear" w:color="auto" w:fill="auto"/>
            <w:tcMar>
              <w:left w:w="28" w:type="dxa"/>
              <w:right w:w="28" w:type="dxa"/>
            </w:tcMar>
            <w:vAlign w:val="center"/>
          </w:tcPr>
          <w:p w:rsidR="00934D77" w:rsidRPr="003C68DF" w:rsidRDefault="00934D77" w:rsidP="00934D77">
            <w:pPr>
              <w:spacing w:after="0" w:line="240" w:lineRule="auto"/>
              <w:jc w:val="right"/>
              <w:rPr>
                <w:rFonts w:asciiTheme="minorHAnsi" w:hAnsiTheme="minorHAnsi"/>
                <w:sz w:val="20"/>
                <w:szCs w:val="20"/>
              </w:rPr>
            </w:pPr>
            <w:r w:rsidRPr="003C68DF">
              <w:rPr>
                <w:rFonts w:asciiTheme="minorHAnsi" w:hAnsiTheme="minorHAnsi"/>
                <w:sz w:val="20"/>
                <w:szCs w:val="20"/>
              </w:rPr>
              <w:t>265,7</w:t>
            </w:r>
          </w:p>
        </w:tc>
        <w:tc>
          <w:tcPr>
            <w:tcW w:w="686" w:type="pct"/>
            <w:shd w:val="clear" w:color="auto" w:fill="auto"/>
            <w:tcMar>
              <w:left w:w="28" w:type="dxa"/>
              <w:right w:w="28" w:type="dxa"/>
            </w:tcMar>
            <w:vAlign w:val="center"/>
          </w:tcPr>
          <w:p w:rsidR="00934D77" w:rsidRPr="003C68DF" w:rsidRDefault="00934D77" w:rsidP="00934D77">
            <w:pPr>
              <w:spacing w:after="0" w:line="240" w:lineRule="auto"/>
              <w:jc w:val="center"/>
              <w:rPr>
                <w:rFonts w:asciiTheme="minorHAnsi" w:hAnsiTheme="minorHAnsi"/>
                <w:i/>
                <w:iCs/>
                <w:sz w:val="20"/>
                <w:szCs w:val="20"/>
              </w:rPr>
            </w:pPr>
            <w:r w:rsidRPr="003C68DF">
              <w:rPr>
                <w:rFonts w:asciiTheme="minorHAnsi" w:hAnsiTheme="minorHAnsi"/>
                <w:i/>
                <w:iCs/>
                <w:sz w:val="20"/>
                <w:szCs w:val="20"/>
              </w:rPr>
              <w:t>15,3</w:t>
            </w:r>
          </w:p>
        </w:tc>
        <w:tc>
          <w:tcPr>
            <w:tcW w:w="687" w:type="pct"/>
            <w:shd w:val="clear" w:color="auto" w:fill="auto"/>
            <w:tcMar>
              <w:left w:w="28" w:type="dxa"/>
              <w:right w:w="28" w:type="dxa"/>
            </w:tcMar>
            <w:vAlign w:val="center"/>
          </w:tcPr>
          <w:p w:rsidR="00934D77" w:rsidRPr="003C68DF" w:rsidRDefault="00934D77" w:rsidP="00934D77">
            <w:pPr>
              <w:spacing w:after="0" w:line="240" w:lineRule="auto"/>
              <w:jc w:val="center"/>
              <w:rPr>
                <w:rFonts w:asciiTheme="minorHAnsi" w:hAnsiTheme="minorHAnsi"/>
                <w:sz w:val="20"/>
                <w:szCs w:val="20"/>
              </w:rPr>
            </w:pPr>
            <w:r w:rsidRPr="003C68DF">
              <w:rPr>
                <w:rFonts w:asciiTheme="minorHAnsi" w:hAnsiTheme="minorHAnsi"/>
                <w:sz w:val="20"/>
                <w:szCs w:val="20"/>
              </w:rPr>
              <w:t>4,2</w:t>
            </w:r>
          </w:p>
        </w:tc>
        <w:tc>
          <w:tcPr>
            <w:tcW w:w="592" w:type="pct"/>
            <w:shd w:val="clear" w:color="auto" w:fill="auto"/>
            <w:tcMar>
              <w:left w:w="28" w:type="dxa"/>
              <w:right w:w="28" w:type="dxa"/>
            </w:tcMar>
            <w:vAlign w:val="center"/>
          </w:tcPr>
          <w:p w:rsidR="00934D77" w:rsidRPr="003C68DF" w:rsidRDefault="00934D77" w:rsidP="00934D77">
            <w:pPr>
              <w:spacing w:after="0" w:line="240" w:lineRule="auto"/>
              <w:jc w:val="center"/>
              <w:rPr>
                <w:rFonts w:asciiTheme="minorHAnsi" w:hAnsiTheme="minorHAnsi"/>
                <w:i/>
                <w:iCs/>
                <w:sz w:val="20"/>
                <w:szCs w:val="20"/>
              </w:rPr>
            </w:pPr>
            <w:r w:rsidRPr="003C68DF">
              <w:rPr>
                <w:rFonts w:asciiTheme="minorHAnsi" w:hAnsiTheme="minorHAnsi"/>
                <w:i/>
                <w:iCs/>
                <w:sz w:val="20"/>
                <w:szCs w:val="20"/>
              </w:rPr>
              <w:t>101,6</w:t>
            </w:r>
          </w:p>
        </w:tc>
      </w:tr>
    </w:tbl>
    <w:p w:rsidR="00934D77" w:rsidRPr="007922FC" w:rsidRDefault="00934D77" w:rsidP="00934D77">
      <w:pPr>
        <w:spacing w:after="0" w:line="240" w:lineRule="auto"/>
        <w:rPr>
          <w:rFonts w:asciiTheme="minorHAnsi" w:hAnsiTheme="minorHAnsi"/>
          <w:sz w:val="8"/>
        </w:rPr>
      </w:pPr>
    </w:p>
    <w:p w:rsidR="00934D77" w:rsidRPr="00BD17D6" w:rsidRDefault="00934D77" w:rsidP="00934D77">
      <w:pPr>
        <w:spacing w:after="0" w:line="240" w:lineRule="auto"/>
        <w:jc w:val="both"/>
        <w:rPr>
          <w:rFonts w:asciiTheme="minorHAnsi" w:hAnsiTheme="minorHAnsi"/>
          <w:sz w:val="24"/>
          <w:szCs w:val="24"/>
        </w:rPr>
      </w:pPr>
      <w:r w:rsidRPr="00BD17D6">
        <w:rPr>
          <w:rFonts w:asciiTheme="minorHAnsi" w:hAnsiTheme="minorHAnsi"/>
          <w:sz w:val="24"/>
          <w:szCs w:val="24"/>
        </w:rPr>
        <w:t>W porównaniu do roku poprzedniego ilość ścieków odprowadzonych do sieci MPWiK była wyższa o 25,9 tys. m</w:t>
      </w:r>
      <w:r w:rsidRPr="00BD17D6">
        <w:rPr>
          <w:rFonts w:asciiTheme="minorHAnsi" w:hAnsiTheme="minorHAnsi"/>
          <w:sz w:val="24"/>
          <w:szCs w:val="24"/>
          <w:vertAlign w:val="superscript"/>
        </w:rPr>
        <w:t>3</w:t>
      </w:r>
      <w:r w:rsidRPr="00BD17D6">
        <w:rPr>
          <w:rFonts w:asciiTheme="minorHAnsi" w:hAnsiTheme="minorHAnsi"/>
          <w:sz w:val="24"/>
          <w:szCs w:val="24"/>
        </w:rPr>
        <w:t>, czyli 1,5%. Wzrost ilości odbieranych ścieków odnotowano zarówno od dostawców z grupy bytowej jak i od przemysłu.</w:t>
      </w:r>
    </w:p>
    <w:p w:rsidR="00934D77" w:rsidRPr="00BD17D6" w:rsidRDefault="00934D77" w:rsidP="00934D77">
      <w:pPr>
        <w:spacing w:after="0" w:line="240" w:lineRule="auto"/>
        <w:jc w:val="both"/>
        <w:rPr>
          <w:rFonts w:asciiTheme="minorHAnsi" w:hAnsiTheme="minorHAnsi"/>
          <w:sz w:val="24"/>
          <w:szCs w:val="24"/>
        </w:rPr>
      </w:pPr>
      <w:r w:rsidRPr="00BD17D6">
        <w:rPr>
          <w:rFonts w:asciiTheme="minorHAnsi" w:hAnsiTheme="minorHAnsi"/>
          <w:sz w:val="24"/>
          <w:szCs w:val="24"/>
        </w:rPr>
        <w:t>Z roku na rok, coraz mniej odpadów dowożonych na zlewisko oczyszczalni – w 2014 roku przyjęto 13,5 tys. m</w:t>
      </w:r>
      <w:r w:rsidRPr="00BD17D6">
        <w:rPr>
          <w:rFonts w:asciiTheme="minorHAnsi" w:hAnsiTheme="minorHAnsi"/>
          <w:sz w:val="24"/>
          <w:szCs w:val="24"/>
          <w:vertAlign w:val="superscript"/>
        </w:rPr>
        <w:t>3</w:t>
      </w:r>
      <w:r w:rsidRPr="00BD17D6">
        <w:rPr>
          <w:rFonts w:asciiTheme="minorHAnsi" w:hAnsiTheme="minorHAnsi"/>
          <w:sz w:val="24"/>
          <w:szCs w:val="24"/>
        </w:rPr>
        <w:t>, podczas gdy w roku poprzednim przyjętych zostało 17,1 tys. m</w:t>
      </w:r>
      <w:r w:rsidRPr="00BD17D6">
        <w:rPr>
          <w:rFonts w:asciiTheme="minorHAnsi" w:hAnsiTheme="minorHAnsi"/>
          <w:sz w:val="24"/>
          <w:szCs w:val="24"/>
          <w:vertAlign w:val="superscript"/>
        </w:rPr>
        <w:t>3</w:t>
      </w:r>
      <w:r w:rsidRPr="00BD17D6">
        <w:rPr>
          <w:rFonts w:asciiTheme="minorHAnsi" w:hAnsiTheme="minorHAnsi"/>
          <w:sz w:val="24"/>
          <w:szCs w:val="24"/>
        </w:rPr>
        <w:t xml:space="preserve"> – spadek o 21,1 %.</w:t>
      </w:r>
    </w:p>
    <w:p w:rsidR="00934D77" w:rsidRPr="008C654C" w:rsidRDefault="00934D77" w:rsidP="00934D77">
      <w:pPr>
        <w:spacing w:after="0" w:line="240" w:lineRule="auto"/>
        <w:jc w:val="both"/>
        <w:rPr>
          <w:rFonts w:asciiTheme="minorHAnsi" w:hAnsiTheme="minorHAnsi"/>
          <w:sz w:val="12"/>
          <w:szCs w:val="24"/>
        </w:rPr>
      </w:pPr>
      <w:r w:rsidRPr="00BD17D6">
        <w:rPr>
          <w:rFonts w:asciiTheme="minorHAnsi" w:hAnsiTheme="minorHAnsi"/>
          <w:sz w:val="18"/>
          <w:szCs w:val="24"/>
        </w:rPr>
        <w:t xml:space="preserve"> </w:t>
      </w:r>
    </w:p>
    <w:p w:rsidR="00934D77" w:rsidRPr="00BD17D6" w:rsidRDefault="00934D77" w:rsidP="00934D77">
      <w:pPr>
        <w:spacing w:after="0" w:line="240" w:lineRule="auto"/>
        <w:jc w:val="both"/>
        <w:rPr>
          <w:rFonts w:asciiTheme="minorHAnsi" w:hAnsiTheme="minorHAnsi"/>
          <w:b/>
          <w:sz w:val="24"/>
          <w:szCs w:val="24"/>
        </w:rPr>
      </w:pPr>
      <w:r w:rsidRPr="00BD17D6">
        <w:rPr>
          <w:rFonts w:asciiTheme="minorHAnsi" w:hAnsiTheme="minorHAnsi"/>
          <w:b/>
          <w:sz w:val="24"/>
          <w:szCs w:val="24"/>
        </w:rPr>
        <w:t>Inwestycje i remonty</w:t>
      </w:r>
    </w:p>
    <w:p w:rsidR="00934D77" w:rsidRPr="00BD17D6" w:rsidRDefault="00934D77" w:rsidP="00934D77">
      <w:pPr>
        <w:spacing w:after="0" w:line="240" w:lineRule="auto"/>
        <w:jc w:val="both"/>
        <w:rPr>
          <w:rFonts w:asciiTheme="minorHAnsi" w:hAnsiTheme="minorHAnsi"/>
          <w:sz w:val="24"/>
          <w:szCs w:val="24"/>
        </w:rPr>
      </w:pPr>
      <w:r w:rsidRPr="00BD17D6">
        <w:rPr>
          <w:rFonts w:asciiTheme="minorHAnsi" w:hAnsiTheme="minorHAnsi"/>
          <w:sz w:val="24"/>
          <w:szCs w:val="24"/>
        </w:rPr>
        <w:t xml:space="preserve">Nakłady inwestycyjne w Spółce wyniosły w 2014 roku 3 732,0 tys. zł, z czego 3 172,8 tys. zł stanowiła budowa środków trwałych, 559,2 tys. zł przeznaczono na zakup gotowych środków </w:t>
      </w:r>
      <w:r w:rsidRPr="00BD17D6">
        <w:rPr>
          <w:rFonts w:asciiTheme="minorHAnsi" w:hAnsiTheme="minorHAnsi"/>
          <w:sz w:val="24"/>
          <w:szCs w:val="24"/>
        </w:rPr>
        <w:lastRenderedPageBreak/>
        <w:t>trwałych. Znaczną część prac związanych z budową środków trwałych Przedsiębiorstwo wykonało we własnym zakresie – 1 074,2 tys. zł (33,9%).</w:t>
      </w:r>
    </w:p>
    <w:p w:rsidR="00934D77" w:rsidRPr="00BD17D6" w:rsidRDefault="00934D77" w:rsidP="00934D77">
      <w:pPr>
        <w:spacing w:after="0" w:line="240" w:lineRule="auto"/>
        <w:jc w:val="both"/>
        <w:rPr>
          <w:rFonts w:asciiTheme="minorHAnsi" w:hAnsiTheme="minorHAnsi"/>
          <w:bCs/>
          <w:sz w:val="24"/>
          <w:szCs w:val="24"/>
        </w:rPr>
      </w:pPr>
      <w:r w:rsidRPr="00BD17D6">
        <w:rPr>
          <w:rFonts w:asciiTheme="minorHAnsi" w:hAnsiTheme="minorHAnsi"/>
          <w:sz w:val="24"/>
          <w:szCs w:val="24"/>
        </w:rPr>
        <w:t>Z wydatków na budowę i modernizacje, największe kwoty pochłonęły: budowa i</w:t>
      </w:r>
      <w:r w:rsidR="006A206F">
        <w:rPr>
          <w:rFonts w:asciiTheme="minorHAnsi" w:hAnsiTheme="minorHAnsi"/>
          <w:sz w:val="24"/>
          <w:szCs w:val="24"/>
        </w:rPr>
        <w:t> </w:t>
      </w:r>
      <w:r w:rsidRPr="00BD17D6">
        <w:rPr>
          <w:rFonts w:asciiTheme="minorHAnsi" w:hAnsiTheme="minorHAnsi"/>
          <w:sz w:val="24"/>
          <w:szCs w:val="24"/>
        </w:rPr>
        <w:t>modernizacja sieci kanalizacyjnej – 1 217,2 tys. zł, budowa i modernizacja sieci wodociągowej – 150,2 tys. zł, poprawa gospodarki energetycznej – 1 018,0 tys. zł, rozbudowa systemu zdalnego nadzorowania pracy obiektów rozproszonych – 308, 0 tys. zł, zmiana planów ochrony obiektów – 27,3 tys. zł, modernizacja stacji uzdatniania – 128,9 tys. zł.</w:t>
      </w:r>
      <w:r w:rsidR="006749EC">
        <w:rPr>
          <w:rFonts w:asciiTheme="minorHAnsi" w:hAnsiTheme="minorHAnsi"/>
          <w:sz w:val="24"/>
          <w:szCs w:val="24"/>
        </w:rPr>
        <w:t xml:space="preserve"> </w:t>
      </w:r>
      <w:r w:rsidRPr="00BD17D6">
        <w:rPr>
          <w:rFonts w:asciiTheme="minorHAnsi" w:hAnsiTheme="minorHAnsi"/>
          <w:bCs/>
          <w:sz w:val="24"/>
          <w:szCs w:val="24"/>
        </w:rPr>
        <w:t>Nakłady na realizację Projektu Funduszu Spójności wyniosły w 2014 roku 127,4 tys. zł.</w:t>
      </w:r>
    </w:p>
    <w:p w:rsidR="00934D77" w:rsidRPr="00BD17D6" w:rsidRDefault="00934D77" w:rsidP="00934D77">
      <w:pPr>
        <w:spacing w:after="0" w:line="240" w:lineRule="auto"/>
        <w:jc w:val="both"/>
        <w:rPr>
          <w:rFonts w:asciiTheme="minorHAnsi" w:hAnsiTheme="minorHAnsi"/>
          <w:sz w:val="24"/>
          <w:szCs w:val="24"/>
        </w:rPr>
      </w:pPr>
      <w:r w:rsidRPr="00BD17D6">
        <w:rPr>
          <w:rFonts w:asciiTheme="minorHAnsi" w:hAnsiTheme="minorHAnsi"/>
          <w:bCs/>
          <w:sz w:val="24"/>
          <w:szCs w:val="24"/>
        </w:rPr>
        <w:t>Na ogólna kwotę 559,2 tys. zł, wydatkowaną w 2014 r. na zakup gotowych środków trwałych, składały się: maszyny, urządzenia i wyposażenie specjalistyczne brygad wykonawczych – 138,1 tys. zł sprzęt komputerowy, oprogramowanie i licencje – 306,4 tys. zł oraz samochód specjalistyczny dla brygady Środki transportu 114,7 tys. zł.</w:t>
      </w:r>
      <w:r w:rsidRPr="00BD17D6">
        <w:rPr>
          <w:rFonts w:asciiTheme="minorHAnsi" w:hAnsiTheme="minorHAnsi"/>
          <w:sz w:val="24"/>
          <w:szCs w:val="24"/>
        </w:rPr>
        <w:t xml:space="preserve"> </w:t>
      </w:r>
    </w:p>
    <w:p w:rsidR="00934D77" w:rsidRPr="008C654C" w:rsidRDefault="00934D77" w:rsidP="00934D77">
      <w:pPr>
        <w:spacing w:after="0" w:line="240" w:lineRule="auto"/>
        <w:jc w:val="both"/>
        <w:rPr>
          <w:rFonts w:asciiTheme="minorHAnsi" w:hAnsiTheme="minorHAnsi"/>
          <w:b/>
          <w:sz w:val="14"/>
          <w:szCs w:val="24"/>
        </w:rPr>
      </w:pPr>
    </w:p>
    <w:p w:rsidR="00934D77" w:rsidRPr="00BD17D6" w:rsidRDefault="00934D77" w:rsidP="00934D77">
      <w:pPr>
        <w:spacing w:after="0" w:line="240" w:lineRule="auto"/>
        <w:jc w:val="both"/>
        <w:rPr>
          <w:rFonts w:asciiTheme="minorHAnsi" w:hAnsiTheme="minorHAnsi"/>
          <w:b/>
          <w:sz w:val="24"/>
          <w:szCs w:val="24"/>
        </w:rPr>
      </w:pPr>
      <w:r w:rsidRPr="00BD17D6">
        <w:rPr>
          <w:rFonts w:asciiTheme="minorHAnsi" w:hAnsiTheme="minorHAnsi"/>
          <w:b/>
          <w:sz w:val="24"/>
          <w:szCs w:val="24"/>
        </w:rPr>
        <w:t>Zatrudnienie</w:t>
      </w:r>
    </w:p>
    <w:p w:rsidR="00934D77" w:rsidRPr="00BD17D6" w:rsidRDefault="00934D77" w:rsidP="00934D77">
      <w:pPr>
        <w:spacing w:after="0" w:line="240" w:lineRule="auto"/>
        <w:jc w:val="both"/>
        <w:rPr>
          <w:rFonts w:asciiTheme="minorHAnsi" w:hAnsiTheme="minorHAnsi"/>
          <w:sz w:val="24"/>
          <w:szCs w:val="24"/>
        </w:rPr>
      </w:pPr>
      <w:r w:rsidRPr="00BD17D6">
        <w:rPr>
          <w:rFonts w:asciiTheme="minorHAnsi" w:hAnsiTheme="minorHAnsi"/>
          <w:sz w:val="24"/>
          <w:szCs w:val="24"/>
        </w:rPr>
        <w:t xml:space="preserve">Zatrudnienie w Spółce wyniosło na koniec 2014 roku 128 osób i było niższe jak w roku ubiegłym. Przeciętne zatrudnienie w ciągu roku wyniosło 133 osoby – w porównaniu do 133,46 osoby w 2013 r. </w:t>
      </w:r>
    </w:p>
    <w:p w:rsidR="00934D77" w:rsidRPr="00BD17D6" w:rsidRDefault="00934D77" w:rsidP="00934D77">
      <w:pPr>
        <w:spacing w:after="0" w:line="240" w:lineRule="auto"/>
        <w:jc w:val="both"/>
        <w:rPr>
          <w:rFonts w:asciiTheme="minorHAnsi" w:hAnsiTheme="minorHAnsi"/>
          <w:sz w:val="24"/>
          <w:szCs w:val="24"/>
        </w:rPr>
      </w:pPr>
      <w:r w:rsidRPr="00BD17D6">
        <w:rPr>
          <w:rFonts w:asciiTheme="minorHAnsi" w:hAnsiTheme="minorHAnsi"/>
          <w:sz w:val="24"/>
          <w:szCs w:val="24"/>
        </w:rPr>
        <w:t xml:space="preserve">Przeciętne miesięczne wynagrodzenie w 2014 r. (bez Zarządu i Dyrekcji) wyniosło w MPWiK 3 805,1 zł – w roku poprzednim był to 3 803,36 zł, Dodatkowo na jednego zatrudnionego przypadło w ciągu roku średnio 302,63 zł z tytułu nagród jubileuszowych oraz innych świadczeń jednorazowych wynikających z Zakładowego Układu Zbiorowego Pracy. </w:t>
      </w:r>
    </w:p>
    <w:p w:rsidR="00934D77" w:rsidRPr="00BD17D6" w:rsidRDefault="00934D77" w:rsidP="00934D77">
      <w:pPr>
        <w:spacing w:after="0" w:line="240" w:lineRule="auto"/>
        <w:jc w:val="both"/>
        <w:rPr>
          <w:rFonts w:asciiTheme="minorHAnsi" w:hAnsiTheme="minorHAnsi"/>
          <w:sz w:val="24"/>
          <w:szCs w:val="24"/>
        </w:rPr>
      </w:pPr>
      <w:r w:rsidRPr="00BD17D6">
        <w:rPr>
          <w:rFonts w:asciiTheme="minorHAnsi" w:hAnsiTheme="minorHAnsi"/>
          <w:sz w:val="24"/>
          <w:szCs w:val="24"/>
        </w:rPr>
        <w:t>Wynagrodzenie Zarządu obciążające koszty Spółki w analizowanym roku wyniosło 159 550,95 zł, natomiast koszty wypłaconych diet członków Rady Nadzorczej 82 200,00 zł.</w:t>
      </w:r>
    </w:p>
    <w:p w:rsidR="00934D77" w:rsidRPr="008C654C" w:rsidRDefault="00934D77" w:rsidP="00934D77">
      <w:pPr>
        <w:spacing w:after="0" w:line="240" w:lineRule="auto"/>
        <w:jc w:val="both"/>
        <w:rPr>
          <w:rFonts w:asciiTheme="minorHAnsi" w:hAnsiTheme="minorHAnsi"/>
          <w:sz w:val="10"/>
          <w:szCs w:val="24"/>
        </w:rPr>
      </w:pPr>
    </w:p>
    <w:p w:rsidR="00934D77" w:rsidRPr="00BD17D6" w:rsidRDefault="00934D77" w:rsidP="00934D77">
      <w:pPr>
        <w:spacing w:after="0" w:line="240" w:lineRule="auto"/>
        <w:jc w:val="both"/>
        <w:rPr>
          <w:rFonts w:asciiTheme="minorHAnsi" w:hAnsiTheme="minorHAnsi"/>
          <w:sz w:val="24"/>
        </w:rPr>
      </w:pPr>
      <w:r w:rsidRPr="00BD17D6">
        <w:rPr>
          <w:rFonts w:asciiTheme="minorHAnsi" w:hAnsiTheme="minorHAnsi"/>
          <w:b/>
          <w:sz w:val="24"/>
        </w:rPr>
        <w:t>Przychody</w:t>
      </w:r>
      <w:r w:rsidRPr="00BD17D6">
        <w:rPr>
          <w:rFonts w:asciiTheme="minorHAnsi" w:hAnsiTheme="minorHAnsi"/>
          <w:sz w:val="24"/>
        </w:rPr>
        <w:t xml:space="preserve"> </w:t>
      </w:r>
    </w:p>
    <w:p w:rsidR="00934D77" w:rsidRPr="00BD17D6" w:rsidRDefault="00934D77" w:rsidP="00934D77">
      <w:pPr>
        <w:jc w:val="both"/>
        <w:rPr>
          <w:rFonts w:asciiTheme="minorHAnsi" w:hAnsiTheme="minorHAnsi"/>
          <w:sz w:val="24"/>
        </w:rPr>
      </w:pPr>
      <w:r w:rsidRPr="00BD17D6">
        <w:rPr>
          <w:rFonts w:asciiTheme="minorHAnsi" w:hAnsiTheme="minorHAnsi"/>
          <w:sz w:val="24"/>
        </w:rPr>
        <w:t>Na ogólną wartość przychodów osiągniętych przez Spółkę w 2014 r. ze sprzedaży usług, składały się: sprzedaż kanalizacji i usług kanalizacyjnych w wysokości 16 618 319,27 zł (w</w:t>
      </w:r>
      <w:r w:rsidR="006A206F">
        <w:rPr>
          <w:rFonts w:asciiTheme="minorHAnsi" w:hAnsiTheme="minorHAnsi"/>
          <w:sz w:val="24"/>
        </w:rPr>
        <w:t> </w:t>
      </w:r>
      <w:r w:rsidRPr="00BD17D6">
        <w:rPr>
          <w:rFonts w:asciiTheme="minorHAnsi" w:hAnsiTheme="minorHAnsi"/>
          <w:sz w:val="24"/>
        </w:rPr>
        <w:t>2013 r. było to 16 365 996,91 zł), sprzedaż wody i usług wodociągowych – 6 886 985,71 zł ( porównaniu do 7 005 201,20 w roku ubiegłym), sprzedaż działalności dodatkowej w</w:t>
      </w:r>
      <w:r w:rsidR="006A206F">
        <w:rPr>
          <w:rFonts w:asciiTheme="minorHAnsi" w:hAnsiTheme="minorHAnsi"/>
          <w:sz w:val="24"/>
        </w:rPr>
        <w:t> </w:t>
      </w:r>
      <w:r w:rsidRPr="00BD17D6">
        <w:rPr>
          <w:rFonts w:asciiTheme="minorHAnsi" w:hAnsiTheme="minorHAnsi"/>
          <w:sz w:val="24"/>
        </w:rPr>
        <w:t>wysokości 618 674,56 zł (w roku 2013 było to 634 712,32 zł) oraz sprzedaż działalności pomocniczej – 9 937,72 zł – w 2013 roku było to 23 368,07 zł. </w:t>
      </w:r>
    </w:p>
    <w:tbl>
      <w:tblPr>
        <w:tblW w:w="4964" w:type="pct"/>
        <w:tblInd w:w="70" w:type="dxa"/>
        <w:tblCellMar>
          <w:left w:w="70" w:type="dxa"/>
          <w:right w:w="70" w:type="dxa"/>
        </w:tblCellMar>
        <w:tblLook w:val="04A0" w:firstRow="1" w:lastRow="0" w:firstColumn="1" w:lastColumn="0" w:noHBand="0" w:noVBand="1"/>
      </w:tblPr>
      <w:tblGrid>
        <w:gridCol w:w="3370"/>
        <w:gridCol w:w="1445"/>
        <w:gridCol w:w="1445"/>
        <w:gridCol w:w="1445"/>
        <w:gridCol w:w="1441"/>
      </w:tblGrid>
      <w:tr w:rsidR="00934D77" w:rsidRPr="00BD17D6" w:rsidTr="006749EC">
        <w:trPr>
          <w:trHeight w:val="330"/>
        </w:trPr>
        <w:tc>
          <w:tcPr>
            <w:tcW w:w="1842" w:type="pct"/>
            <w:tcBorders>
              <w:top w:val="single" w:sz="4" w:space="0" w:color="auto"/>
              <w:left w:val="single" w:sz="4" w:space="0" w:color="auto"/>
              <w:bottom w:val="nil"/>
              <w:right w:val="single" w:sz="4" w:space="0" w:color="auto"/>
            </w:tcBorders>
            <w:shd w:val="clear" w:color="000000" w:fill="C0C0C0"/>
            <w:noWrap/>
            <w:vAlign w:val="center"/>
            <w:hideMark/>
          </w:tcPr>
          <w:p w:rsidR="00934D77" w:rsidRPr="00BD17D6" w:rsidRDefault="00934D77" w:rsidP="006749EC">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Treść</w:t>
            </w:r>
          </w:p>
        </w:tc>
        <w:tc>
          <w:tcPr>
            <w:tcW w:w="790" w:type="pct"/>
            <w:tcBorders>
              <w:top w:val="single" w:sz="4" w:space="0" w:color="auto"/>
              <w:left w:val="nil"/>
              <w:bottom w:val="single" w:sz="4" w:space="0" w:color="auto"/>
              <w:right w:val="single" w:sz="4" w:space="0" w:color="auto"/>
            </w:tcBorders>
            <w:shd w:val="clear" w:color="000000" w:fill="C0C0C0"/>
            <w:noWrap/>
            <w:vAlign w:val="center"/>
            <w:hideMark/>
          </w:tcPr>
          <w:p w:rsidR="00934D77" w:rsidRPr="00BD17D6" w:rsidRDefault="00934D77" w:rsidP="006749EC">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2011</w:t>
            </w:r>
          </w:p>
        </w:tc>
        <w:tc>
          <w:tcPr>
            <w:tcW w:w="790" w:type="pct"/>
            <w:tcBorders>
              <w:top w:val="single" w:sz="4" w:space="0" w:color="auto"/>
              <w:left w:val="nil"/>
              <w:bottom w:val="single" w:sz="4" w:space="0" w:color="auto"/>
              <w:right w:val="single" w:sz="4" w:space="0" w:color="auto"/>
            </w:tcBorders>
            <w:shd w:val="clear" w:color="000000" w:fill="C0C0C0"/>
            <w:noWrap/>
            <w:vAlign w:val="center"/>
            <w:hideMark/>
          </w:tcPr>
          <w:p w:rsidR="00934D77" w:rsidRPr="00BD17D6" w:rsidRDefault="00934D77" w:rsidP="006749EC">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2012</w:t>
            </w:r>
          </w:p>
        </w:tc>
        <w:tc>
          <w:tcPr>
            <w:tcW w:w="790" w:type="pct"/>
            <w:tcBorders>
              <w:top w:val="single" w:sz="4" w:space="0" w:color="auto"/>
              <w:left w:val="nil"/>
              <w:bottom w:val="single" w:sz="4" w:space="0" w:color="auto"/>
              <w:right w:val="single" w:sz="4" w:space="0" w:color="auto"/>
            </w:tcBorders>
            <w:shd w:val="clear" w:color="000000" w:fill="C0C0C0"/>
            <w:noWrap/>
            <w:vAlign w:val="center"/>
            <w:hideMark/>
          </w:tcPr>
          <w:p w:rsidR="00934D77" w:rsidRPr="00BD17D6" w:rsidRDefault="00934D77" w:rsidP="006749EC">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2013</w:t>
            </w:r>
          </w:p>
        </w:tc>
        <w:tc>
          <w:tcPr>
            <w:tcW w:w="790" w:type="pct"/>
            <w:tcBorders>
              <w:top w:val="single" w:sz="4" w:space="0" w:color="auto"/>
              <w:left w:val="nil"/>
              <w:bottom w:val="single" w:sz="4" w:space="0" w:color="auto"/>
              <w:right w:val="single" w:sz="4" w:space="0" w:color="auto"/>
            </w:tcBorders>
            <w:shd w:val="clear" w:color="000000" w:fill="C0C0C0"/>
            <w:noWrap/>
            <w:vAlign w:val="center"/>
            <w:hideMark/>
          </w:tcPr>
          <w:p w:rsidR="00934D77" w:rsidRPr="00BD17D6" w:rsidRDefault="00934D77" w:rsidP="006749EC">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2014</w:t>
            </w:r>
          </w:p>
        </w:tc>
      </w:tr>
      <w:tr w:rsidR="00934D77" w:rsidRPr="00BD17D6" w:rsidTr="00967029">
        <w:trPr>
          <w:trHeight w:val="330"/>
        </w:trPr>
        <w:tc>
          <w:tcPr>
            <w:tcW w:w="184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D77" w:rsidRPr="00BD17D6" w:rsidRDefault="00934D77" w:rsidP="00967029">
            <w:pPr>
              <w:spacing w:after="0" w:line="240" w:lineRule="auto"/>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 xml:space="preserve">PRZYCHODY ZE SPRZEDAŻY </w:t>
            </w:r>
          </w:p>
        </w:tc>
        <w:tc>
          <w:tcPr>
            <w:tcW w:w="790"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67029">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22 994 912,13</w:t>
            </w:r>
          </w:p>
        </w:tc>
        <w:tc>
          <w:tcPr>
            <w:tcW w:w="790"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67029">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25 913 393,60</w:t>
            </w:r>
          </w:p>
        </w:tc>
        <w:tc>
          <w:tcPr>
            <w:tcW w:w="790"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67029">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24 044 958,72</w:t>
            </w:r>
          </w:p>
        </w:tc>
        <w:tc>
          <w:tcPr>
            <w:tcW w:w="790"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67029">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24 148 854,02</w:t>
            </w:r>
          </w:p>
        </w:tc>
      </w:tr>
      <w:tr w:rsidR="00934D77" w:rsidRPr="00BD17D6" w:rsidTr="00967029">
        <w:trPr>
          <w:trHeight w:val="330"/>
        </w:trPr>
        <w:tc>
          <w:tcPr>
            <w:tcW w:w="1842" w:type="pct"/>
            <w:tcBorders>
              <w:top w:val="nil"/>
              <w:left w:val="single" w:sz="4" w:space="0" w:color="auto"/>
              <w:bottom w:val="single" w:sz="4" w:space="0" w:color="auto"/>
              <w:right w:val="single" w:sz="4" w:space="0" w:color="auto"/>
            </w:tcBorders>
            <w:shd w:val="clear" w:color="auto" w:fill="auto"/>
            <w:noWrap/>
            <w:vAlign w:val="center"/>
            <w:hideMark/>
          </w:tcPr>
          <w:p w:rsidR="00934D77" w:rsidRPr="00BD17D6" w:rsidRDefault="00934D77" w:rsidP="00967029">
            <w:pPr>
              <w:spacing w:after="0" w:line="240" w:lineRule="auto"/>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POZOSTAŁE PRZYCHODY OPERACYJNE</w:t>
            </w:r>
          </w:p>
        </w:tc>
        <w:tc>
          <w:tcPr>
            <w:tcW w:w="790"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67029">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219 763,39</w:t>
            </w:r>
          </w:p>
        </w:tc>
        <w:tc>
          <w:tcPr>
            <w:tcW w:w="790"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67029">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1 333 137,82</w:t>
            </w:r>
          </w:p>
        </w:tc>
        <w:tc>
          <w:tcPr>
            <w:tcW w:w="790"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67029">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1 394 758,68</w:t>
            </w:r>
          </w:p>
        </w:tc>
        <w:tc>
          <w:tcPr>
            <w:tcW w:w="790"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67029">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191 907,66</w:t>
            </w:r>
          </w:p>
        </w:tc>
      </w:tr>
      <w:tr w:rsidR="00934D77" w:rsidRPr="00BD17D6" w:rsidTr="00967029">
        <w:trPr>
          <w:trHeight w:val="330"/>
        </w:trPr>
        <w:tc>
          <w:tcPr>
            <w:tcW w:w="1842" w:type="pct"/>
            <w:tcBorders>
              <w:top w:val="nil"/>
              <w:left w:val="single" w:sz="4" w:space="0" w:color="auto"/>
              <w:bottom w:val="single" w:sz="4" w:space="0" w:color="auto"/>
              <w:right w:val="single" w:sz="4" w:space="0" w:color="auto"/>
            </w:tcBorders>
            <w:shd w:val="clear" w:color="auto" w:fill="auto"/>
            <w:noWrap/>
            <w:vAlign w:val="center"/>
            <w:hideMark/>
          </w:tcPr>
          <w:p w:rsidR="00934D77" w:rsidRPr="00BD17D6" w:rsidRDefault="00934D77" w:rsidP="00967029">
            <w:pPr>
              <w:spacing w:after="0" w:line="240" w:lineRule="auto"/>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PRZYCHODY FINANSOWE</w:t>
            </w:r>
          </w:p>
        </w:tc>
        <w:tc>
          <w:tcPr>
            <w:tcW w:w="790"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67029">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51 085,89</w:t>
            </w:r>
          </w:p>
        </w:tc>
        <w:tc>
          <w:tcPr>
            <w:tcW w:w="790"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67029">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252 283,03</w:t>
            </w:r>
          </w:p>
        </w:tc>
        <w:tc>
          <w:tcPr>
            <w:tcW w:w="790"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67029">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173 103,01</w:t>
            </w:r>
          </w:p>
        </w:tc>
        <w:tc>
          <w:tcPr>
            <w:tcW w:w="790"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67029">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142 573,44</w:t>
            </w:r>
          </w:p>
        </w:tc>
      </w:tr>
    </w:tbl>
    <w:p w:rsidR="00934D77" w:rsidRPr="008C654C" w:rsidRDefault="00934D77" w:rsidP="00934D77">
      <w:pPr>
        <w:spacing w:after="0" w:line="240" w:lineRule="auto"/>
        <w:jc w:val="both"/>
        <w:rPr>
          <w:rFonts w:asciiTheme="minorHAnsi" w:hAnsiTheme="minorHAnsi"/>
          <w:sz w:val="10"/>
        </w:rPr>
      </w:pPr>
    </w:p>
    <w:p w:rsidR="00934D77" w:rsidRPr="00BD17D6" w:rsidRDefault="00934D77" w:rsidP="00934D77">
      <w:pPr>
        <w:spacing w:after="0" w:line="240" w:lineRule="auto"/>
        <w:jc w:val="both"/>
        <w:rPr>
          <w:rFonts w:asciiTheme="minorHAnsi" w:hAnsiTheme="minorHAnsi"/>
          <w:b/>
          <w:sz w:val="24"/>
          <w:szCs w:val="24"/>
        </w:rPr>
      </w:pPr>
      <w:r w:rsidRPr="00BD17D6">
        <w:rPr>
          <w:rFonts w:asciiTheme="minorHAnsi" w:hAnsiTheme="minorHAnsi"/>
          <w:b/>
          <w:sz w:val="24"/>
          <w:szCs w:val="24"/>
        </w:rPr>
        <w:t>Koszty</w:t>
      </w:r>
    </w:p>
    <w:p w:rsidR="00934D77" w:rsidRPr="00BD17D6" w:rsidRDefault="00934D77" w:rsidP="00934D77">
      <w:pPr>
        <w:spacing w:after="0" w:line="240" w:lineRule="auto"/>
        <w:jc w:val="both"/>
        <w:rPr>
          <w:rFonts w:asciiTheme="minorHAnsi" w:hAnsiTheme="minorHAnsi"/>
          <w:sz w:val="24"/>
          <w:szCs w:val="24"/>
        </w:rPr>
      </w:pPr>
      <w:r w:rsidRPr="00BD17D6">
        <w:rPr>
          <w:rFonts w:asciiTheme="minorHAnsi" w:hAnsiTheme="minorHAnsi"/>
          <w:sz w:val="24"/>
          <w:szCs w:val="24"/>
        </w:rPr>
        <w:t>W układzie rodzajowym najwyższe pozycje wśród kosztów Spółki zajmują: wynagrodzenia – 6 958 506,33 zł (w roku 2013 było to 6 755 457,88 zł), amortyzacja – 5 846 458,69 zł (w roku 2013 - 6 211 899,23 zł) zużycie materiałów i energii – 2 841 468,91 zł ( w roku 2013 - 3 320 335,36 zł) oraz podatki i opłaty - 3 593 924,55 ( w roku 2013 - 3 129 153,27).</w:t>
      </w:r>
    </w:p>
    <w:p w:rsidR="00934D77" w:rsidRPr="008C654C" w:rsidRDefault="00934D77" w:rsidP="00934D77">
      <w:pPr>
        <w:spacing w:after="0" w:line="240" w:lineRule="auto"/>
        <w:jc w:val="both"/>
        <w:rPr>
          <w:rFonts w:asciiTheme="minorHAnsi" w:hAnsiTheme="minorHAnsi"/>
          <w:sz w:val="2"/>
          <w:szCs w:val="24"/>
        </w:rPr>
      </w:pPr>
      <w:r w:rsidRPr="00BD17D6">
        <w:rPr>
          <w:rFonts w:asciiTheme="minorHAnsi" w:hAnsiTheme="minorHAnsi"/>
          <w:sz w:val="12"/>
          <w:szCs w:val="24"/>
        </w:rPr>
        <w:t xml:space="preserve"> </w:t>
      </w:r>
    </w:p>
    <w:p w:rsidR="00934D77" w:rsidRPr="00BD17D6" w:rsidRDefault="00934D77" w:rsidP="00934D77">
      <w:pPr>
        <w:spacing w:after="0" w:line="240" w:lineRule="auto"/>
        <w:jc w:val="both"/>
        <w:rPr>
          <w:rFonts w:asciiTheme="minorHAnsi" w:hAnsiTheme="minorHAnsi"/>
          <w:sz w:val="10"/>
        </w:rPr>
      </w:pPr>
    </w:p>
    <w:tbl>
      <w:tblPr>
        <w:tblW w:w="4964"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70"/>
        <w:gridCol w:w="1445"/>
        <w:gridCol w:w="1445"/>
        <w:gridCol w:w="1445"/>
        <w:gridCol w:w="1441"/>
      </w:tblGrid>
      <w:tr w:rsidR="00934D77" w:rsidRPr="00BD17D6" w:rsidTr="008765EC">
        <w:trPr>
          <w:trHeight w:val="330"/>
        </w:trPr>
        <w:tc>
          <w:tcPr>
            <w:tcW w:w="1842" w:type="pct"/>
            <w:shd w:val="clear" w:color="000000" w:fill="C0C0C0"/>
            <w:noWrap/>
            <w:vAlign w:val="center"/>
            <w:hideMark/>
          </w:tcPr>
          <w:p w:rsidR="00934D77" w:rsidRPr="00BD17D6" w:rsidRDefault="00934D77" w:rsidP="008765EC">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Treść</w:t>
            </w:r>
          </w:p>
        </w:tc>
        <w:tc>
          <w:tcPr>
            <w:tcW w:w="790" w:type="pct"/>
            <w:shd w:val="clear" w:color="000000" w:fill="C0C0C0"/>
            <w:noWrap/>
            <w:vAlign w:val="center"/>
            <w:hideMark/>
          </w:tcPr>
          <w:p w:rsidR="00934D77" w:rsidRPr="00BD17D6" w:rsidRDefault="00934D77" w:rsidP="008765EC">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2011</w:t>
            </w:r>
          </w:p>
        </w:tc>
        <w:tc>
          <w:tcPr>
            <w:tcW w:w="790" w:type="pct"/>
            <w:shd w:val="clear" w:color="000000" w:fill="C0C0C0"/>
            <w:noWrap/>
            <w:vAlign w:val="center"/>
            <w:hideMark/>
          </w:tcPr>
          <w:p w:rsidR="00934D77" w:rsidRPr="00BD17D6" w:rsidRDefault="00934D77" w:rsidP="008765EC">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2012</w:t>
            </w:r>
          </w:p>
        </w:tc>
        <w:tc>
          <w:tcPr>
            <w:tcW w:w="790" w:type="pct"/>
            <w:shd w:val="clear" w:color="000000" w:fill="C0C0C0"/>
            <w:noWrap/>
            <w:vAlign w:val="center"/>
            <w:hideMark/>
          </w:tcPr>
          <w:p w:rsidR="00934D77" w:rsidRPr="00BD17D6" w:rsidRDefault="00934D77" w:rsidP="008765EC">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2013</w:t>
            </w:r>
          </w:p>
        </w:tc>
        <w:tc>
          <w:tcPr>
            <w:tcW w:w="790" w:type="pct"/>
            <w:shd w:val="clear" w:color="000000" w:fill="C0C0C0"/>
            <w:noWrap/>
            <w:vAlign w:val="center"/>
            <w:hideMark/>
          </w:tcPr>
          <w:p w:rsidR="00934D77" w:rsidRPr="00BD17D6" w:rsidRDefault="00934D77" w:rsidP="008765EC">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2014</w:t>
            </w:r>
          </w:p>
        </w:tc>
      </w:tr>
      <w:tr w:rsidR="00934D77" w:rsidRPr="00BD17D6" w:rsidTr="00121F58">
        <w:trPr>
          <w:trHeight w:val="600"/>
        </w:trPr>
        <w:tc>
          <w:tcPr>
            <w:tcW w:w="1842" w:type="pct"/>
            <w:shd w:val="clear" w:color="auto" w:fill="auto"/>
            <w:vAlign w:val="center"/>
            <w:hideMark/>
          </w:tcPr>
          <w:p w:rsidR="00934D77" w:rsidRPr="00BD17D6" w:rsidRDefault="00934D77" w:rsidP="00121F58">
            <w:pPr>
              <w:spacing w:after="0" w:line="240" w:lineRule="auto"/>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KOSZTY SPRZEDAŻY PRODUKTÓW TOWARÓW I KOSZTY ZARZĄDU</w:t>
            </w:r>
          </w:p>
        </w:tc>
        <w:tc>
          <w:tcPr>
            <w:tcW w:w="790" w:type="pct"/>
            <w:shd w:val="clear" w:color="auto" w:fill="auto"/>
            <w:noWrap/>
            <w:vAlign w:val="center"/>
            <w:hideMark/>
          </w:tcPr>
          <w:p w:rsidR="00934D77" w:rsidRPr="00BD17D6" w:rsidRDefault="00934D77" w:rsidP="00967029">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22 035 285,01</w:t>
            </w:r>
          </w:p>
        </w:tc>
        <w:tc>
          <w:tcPr>
            <w:tcW w:w="790" w:type="pct"/>
            <w:shd w:val="clear" w:color="auto" w:fill="auto"/>
            <w:noWrap/>
            <w:vAlign w:val="center"/>
            <w:hideMark/>
          </w:tcPr>
          <w:p w:rsidR="00934D77" w:rsidRPr="00BD17D6" w:rsidRDefault="00934D77" w:rsidP="00967029">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24 047 907,74</w:t>
            </w:r>
          </w:p>
        </w:tc>
        <w:tc>
          <w:tcPr>
            <w:tcW w:w="790" w:type="pct"/>
            <w:shd w:val="clear" w:color="auto" w:fill="auto"/>
            <w:noWrap/>
            <w:vAlign w:val="center"/>
            <w:hideMark/>
          </w:tcPr>
          <w:p w:rsidR="00934D77" w:rsidRPr="00BD17D6" w:rsidRDefault="00934D77" w:rsidP="00967029">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23 068 504,38</w:t>
            </w:r>
          </w:p>
        </w:tc>
        <w:tc>
          <w:tcPr>
            <w:tcW w:w="790" w:type="pct"/>
            <w:shd w:val="clear" w:color="auto" w:fill="auto"/>
            <w:noWrap/>
            <w:vAlign w:val="center"/>
            <w:hideMark/>
          </w:tcPr>
          <w:p w:rsidR="00934D77" w:rsidRPr="00BD17D6" w:rsidRDefault="00934D77" w:rsidP="00967029">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22 660 313,85</w:t>
            </w:r>
          </w:p>
        </w:tc>
      </w:tr>
      <w:tr w:rsidR="00934D77" w:rsidRPr="00BD17D6" w:rsidTr="00121F58">
        <w:trPr>
          <w:trHeight w:val="330"/>
        </w:trPr>
        <w:tc>
          <w:tcPr>
            <w:tcW w:w="1842" w:type="pct"/>
            <w:shd w:val="clear" w:color="auto" w:fill="auto"/>
            <w:noWrap/>
            <w:vAlign w:val="center"/>
            <w:hideMark/>
          </w:tcPr>
          <w:p w:rsidR="00934D77" w:rsidRPr="00BD17D6" w:rsidRDefault="00934D77" w:rsidP="00121F58">
            <w:pPr>
              <w:spacing w:after="0" w:line="240" w:lineRule="auto"/>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POZOSTAŁE KOSZTY OPERACYJNE</w:t>
            </w:r>
          </w:p>
        </w:tc>
        <w:tc>
          <w:tcPr>
            <w:tcW w:w="790" w:type="pct"/>
            <w:shd w:val="clear" w:color="auto" w:fill="auto"/>
            <w:noWrap/>
            <w:vAlign w:val="center"/>
            <w:hideMark/>
          </w:tcPr>
          <w:p w:rsidR="00934D77" w:rsidRPr="00BD17D6" w:rsidRDefault="00934D77" w:rsidP="00967029">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931 161,01</w:t>
            </w:r>
          </w:p>
        </w:tc>
        <w:tc>
          <w:tcPr>
            <w:tcW w:w="790" w:type="pct"/>
            <w:shd w:val="clear" w:color="auto" w:fill="auto"/>
            <w:noWrap/>
            <w:vAlign w:val="center"/>
            <w:hideMark/>
          </w:tcPr>
          <w:p w:rsidR="00934D77" w:rsidRPr="00BD17D6" w:rsidRDefault="00934D77" w:rsidP="00967029">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1 476 132,13</w:t>
            </w:r>
          </w:p>
        </w:tc>
        <w:tc>
          <w:tcPr>
            <w:tcW w:w="790" w:type="pct"/>
            <w:shd w:val="clear" w:color="auto" w:fill="auto"/>
            <w:noWrap/>
            <w:vAlign w:val="center"/>
            <w:hideMark/>
          </w:tcPr>
          <w:p w:rsidR="00934D77" w:rsidRPr="00BD17D6" w:rsidRDefault="00934D77" w:rsidP="00967029">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1 161 986,74</w:t>
            </w:r>
          </w:p>
        </w:tc>
        <w:tc>
          <w:tcPr>
            <w:tcW w:w="790" w:type="pct"/>
            <w:shd w:val="clear" w:color="auto" w:fill="auto"/>
            <w:noWrap/>
            <w:vAlign w:val="center"/>
            <w:hideMark/>
          </w:tcPr>
          <w:p w:rsidR="00934D77" w:rsidRPr="00BD17D6" w:rsidRDefault="00934D77" w:rsidP="00967029">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311 969,81</w:t>
            </w:r>
          </w:p>
        </w:tc>
      </w:tr>
      <w:tr w:rsidR="00934D77" w:rsidRPr="00BD17D6" w:rsidTr="00121F58">
        <w:trPr>
          <w:trHeight w:val="330"/>
        </w:trPr>
        <w:tc>
          <w:tcPr>
            <w:tcW w:w="1842" w:type="pct"/>
            <w:shd w:val="clear" w:color="auto" w:fill="auto"/>
            <w:noWrap/>
            <w:vAlign w:val="center"/>
            <w:hideMark/>
          </w:tcPr>
          <w:p w:rsidR="00934D77" w:rsidRPr="00BD17D6" w:rsidRDefault="00934D77" w:rsidP="00121F58">
            <w:pPr>
              <w:spacing w:after="0" w:line="240" w:lineRule="auto"/>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KOSZTY FINANSOWE</w:t>
            </w:r>
          </w:p>
        </w:tc>
        <w:tc>
          <w:tcPr>
            <w:tcW w:w="790" w:type="pct"/>
            <w:shd w:val="clear" w:color="auto" w:fill="auto"/>
            <w:noWrap/>
            <w:vAlign w:val="center"/>
            <w:hideMark/>
          </w:tcPr>
          <w:p w:rsidR="00934D77" w:rsidRPr="00BD17D6" w:rsidRDefault="00934D77" w:rsidP="00967029">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534 869,63</w:t>
            </w:r>
          </w:p>
        </w:tc>
        <w:tc>
          <w:tcPr>
            <w:tcW w:w="790" w:type="pct"/>
            <w:shd w:val="clear" w:color="auto" w:fill="auto"/>
            <w:noWrap/>
            <w:vAlign w:val="center"/>
            <w:hideMark/>
          </w:tcPr>
          <w:p w:rsidR="00934D77" w:rsidRPr="00BD17D6" w:rsidRDefault="00934D77" w:rsidP="00967029">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1 226 067,60</w:t>
            </w:r>
          </w:p>
        </w:tc>
        <w:tc>
          <w:tcPr>
            <w:tcW w:w="790" w:type="pct"/>
            <w:shd w:val="clear" w:color="auto" w:fill="auto"/>
            <w:noWrap/>
            <w:vAlign w:val="center"/>
            <w:hideMark/>
          </w:tcPr>
          <w:p w:rsidR="00934D77" w:rsidRPr="00BD17D6" w:rsidRDefault="00934D77" w:rsidP="00967029">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1 490 222,64</w:t>
            </w:r>
          </w:p>
        </w:tc>
        <w:tc>
          <w:tcPr>
            <w:tcW w:w="790" w:type="pct"/>
            <w:shd w:val="clear" w:color="auto" w:fill="auto"/>
            <w:noWrap/>
            <w:vAlign w:val="center"/>
            <w:hideMark/>
          </w:tcPr>
          <w:p w:rsidR="00934D77" w:rsidRPr="00BD17D6" w:rsidRDefault="00934D77" w:rsidP="00967029">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1 401 666,18</w:t>
            </w:r>
          </w:p>
        </w:tc>
      </w:tr>
    </w:tbl>
    <w:p w:rsidR="00934D77" w:rsidRPr="00BD17D6" w:rsidRDefault="00934D77" w:rsidP="00934D77">
      <w:pPr>
        <w:spacing w:after="0" w:line="240" w:lineRule="auto"/>
        <w:jc w:val="both"/>
        <w:rPr>
          <w:rFonts w:asciiTheme="minorHAnsi" w:hAnsiTheme="minorHAnsi"/>
          <w:b/>
          <w:sz w:val="18"/>
          <w:szCs w:val="24"/>
        </w:rPr>
      </w:pPr>
      <w:r w:rsidRPr="00BD17D6">
        <w:rPr>
          <w:rFonts w:asciiTheme="minorHAnsi" w:hAnsiTheme="minorHAnsi"/>
          <w:b/>
          <w:sz w:val="24"/>
          <w:szCs w:val="24"/>
        </w:rPr>
        <w:lastRenderedPageBreak/>
        <w:t>Zysk</w:t>
      </w:r>
    </w:p>
    <w:p w:rsidR="00934D77" w:rsidRPr="00BD17D6" w:rsidRDefault="00934D77" w:rsidP="00934D77">
      <w:pPr>
        <w:spacing w:after="0" w:line="240" w:lineRule="auto"/>
        <w:jc w:val="both"/>
        <w:rPr>
          <w:rFonts w:asciiTheme="minorHAnsi" w:hAnsiTheme="minorHAnsi"/>
          <w:sz w:val="10"/>
          <w:szCs w:val="24"/>
        </w:rPr>
      </w:pPr>
    </w:p>
    <w:tbl>
      <w:tblPr>
        <w:tblW w:w="4964" w:type="pct"/>
        <w:tblInd w:w="70" w:type="dxa"/>
        <w:tblCellMar>
          <w:left w:w="70" w:type="dxa"/>
          <w:right w:w="70" w:type="dxa"/>
        </w:tblCellMar>
        <w:tblLook w:val="04A0" w:firstRow="1" w:lastRow="0" w:firstColumn="1" w:lastColumn="0" w:noHBand="0" w:noVBand="1"/>
      </w:tblPr>
      <w:tblGrid>
        <w:gridCol w:w="3854"/>
        <w:gridCol w:w="1295"/>
        <w:gridCol w:w="1332"/>
        <w:gridCol w:w="1333"/>
        <w:gridCol w:w="1332"/>
      </w:tblGrid>
      <w:tr w:rsidR="00934D77" w:rsidRPr="00BD17D6" w:rsidTr="00644E9A">
        <w:trPr>
          <w:trHeight w:val="330"/>
        </w:trPr>
        <w:tc>
          <w:tcPr>
            <w:tcW w:w="2107" w:type="pct"/>
            <w:tcBorders>
              <w:top w:val="single" w:sz="4" w:space="0" w:color="auto"/>
              <w:left w:val="single" w:sz="4" w:space="0" w:color="auto"/>
              <w:bottom w:val="nil"/>
              <w:right w:val="single" w:sz="4" w:space="0" w:color="auto"/>
            </w:tcBorders>
            <w:shd w:val="clear" w:color="000000" w:fill="C0C0C0"/>
            <w:noWrap/>
            <w:vAlign w:val="center"/>
            <w:hideMark/>
          </w:tcPr>
          <w:p w:rsidR="00934D77" w:rsidRPr="00BD17D6" w:rsidRDefault="00934D77"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Treść</w:t>
            </w:r>
          </w:p>
        </w:tc>
        <w:tc>
          <w:tcPr>
            <w:tcW w:w="708" w:type="pct"/>
            <w:tcBorders>
              <w:top w:val="single" w:sz="4" w:space="0" w:color="auto"/>
              <w:left w:val="nil"/>
              <w:bottom w:val="single" w:sz="4" w:space="0" w:color="auto"/>
              <w:right w:val="single" w:sz="4" w:space="0" w:color="auto"/>
            </w:tcBorders>
            <w:shd w:val="clear" w:color="000000" w:fill="C0C0C0"/>
            <w:noWrap/>
            <w:vAlign w:val="center"/>
            <w:hideMark/>
          </w:tcPr>
          <w:p w:rsidR="00934D77" w:rsidRPr="00BD17D6" w:rsidRDefault="00934D77"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2011</w:t>
            </w:r>
          </w:p>
        </w:tc>
        <w:tc>
          <w:tcPr>
            <w:tcW w:w="728" w:type="pct"/>
            <w:tcBorders>
              <w:top w:val="single" w:sz="4" w:space="0" w:color="auto"/>
              <w:left w:val="nil"/>
              <w:bottom w:val="single" w:sz="4" w:space="0" w:color="auto"/>
              <w:right w:val="single" w:sz="4" w:space="0" w:color="auto"/>
            </w:tcBorders>
            <w:shd w:val="clear" w:color="000000" w:fill="C0C0C0"/>
            <w:noWrap/>
            <w:vAlign w:val="center"/>
            <w:hideMark/>
          </w:tcPr>
          <w:p w:rsidR="00934D77" w:rsidRPr="00BD17D6" w:rsidRDefault="00934D77"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2012</w:t>
            </w:r>
          </w:p>
        </w:tc>
        <w:tc>
          <w:tcPr>
            <w:tcW w:w="729" w:type="pct"/>
            <w:tcBorders>
              <w:top w:val="single" w:sz="4" w:space="0" w:color="auto"/>
              <w:left w:val="nil"/>
              <w:bottom w:val="single" w:sz="4" w:space="0" w:color="auto"/>
              <w:right w:val="single" w:sz="4" w:space="0" w:color="auto"/>
            </w:tcBorders>
            <w:shd w:val="clear" w:color="000000" w:fill="C0C0C0"/>
            <w:noWrap/>
            <w:vAlign w:val="center"/>
            <w:hideMark/>
          </w:tcPr>
          <w:p w:rsidR="00934D77" w:rsidRPr="00BD17D6" w:rsidRDefault="00934D77"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2013</w:t>
            </w:r>
          </w:p>
        </w:tc>
        <w:tc>
          <w:tcPr>
            <w:tcW w:w="729" w:type="pct"/>
            <w:tcBorders>
              <w:top w:val="single" w:sz="4" w:space="0" w:color="auto"/>
              <w:left w:val="nil"/>
              <w:bottom w:val="single" w:sz="4" w:space="0" w:color="auto"/>
              <w:right w:val="single" w:sz="4" w:space="0" w:color="auto"/>
            </w:tcBorders>
            <w:shd w:val="clear" w:color="000000" w:fill="C0C0C0"/>
            <w:noWrap/>
            <w:vAlign w:val="center"/>
            <w:hideMark/>
          </w:tcPr>
          <w:p w:rsidR="00934D77" w:rsidRPr="00BD17D6" w:rsidRDefault="00934D77"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2014</w:t>
            </w:r>
          </w:p>
        </w:tc>
      </w:tr>
      <w:tr w:rsidR="00934D77" w:rsidRPr="00BD17D6" w:rsidTr="00121F58">
        <w:trPr>
          <w:trHeight w:val="330"/>
        </w:trPr>
        <w:tc>
          <w:tcPr>
            <w:tcW w:w="210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D77" w:rsidRPr="00BD17D6" w:rsidRDefault="00934D77" w:rsidP="00121F58">
            <w:pPr>
              <w:spacing w:after="0" w:line="240" w:lineRule="auto"/>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ZYSK ZE SPRZEDAŻY</w:t>
            </w:r>
          </w:p>
        </w:tc>
        <w:tc>
          <w:tcPr>
            <w:tcW w:w="708"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34D77">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959 627,12</w:t>
            </w:r>
          </w:p>
        </w:tc>
        <w:tc>
          <w:tcPr>
            <w:tcW w:w="728"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34D77">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1 865 485,86</w:t>
            </w:r>
          </w:p>
        </w:tc>
        <w:tc>
          <w:tcPr>
            <w:tcW w:w="729"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34D77">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976 454,34</w:t>
            </w:r>
          </w:p>
        </w:tc>
        <w:tc>
          <w:tcPr>
            <w:tcW w:w="729"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34D77">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1 488 540,17</w:t>
            </w:r>
          </w:p>
        </w:tc>
      </w:tr>
      <w:tr w:rsidR="00934D77" w:rsidRPr="00BD17D6" w:rsidTr="00121F58">
        <w:trPr>
          <w:trHeight w:val="330"/>
        </w:trPr>
        <w:tc>
          <w:tcPr>
            <w:tcW w:w="2107" w:type="pct"/>
            <w:tcBorders>
              <w:top w:val="nil"/>
              <w:left w:val="single" w:sz="4" w:space="0" w:color="auto"/>
              <w:bottom w:val="single" w:sz="4" w:space="0" w:color="auto"/>
              <w:right w:val="single" w:sz="4" w:space="0" w:color="auto"/>
            </w:tcBorders>
            <w:shd w:val="clear" w:color="auto" w:fill="auto"/>
            <w:noWrap/>
            <w:vAlign w:val="center"/>
            <w:hideMark/>
          </w:tcPr>
          <w:p w:rsidR="00934D77" w:rsidRPr="00BD17D6" w:rsidRDefault="00934D77" w:rsidP="00121F58">
            <w:pPr>
              <w:spacing w:after="0" w:line="240" w:lineRule="auto"/>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ZYSK Z DZIAŁALNOŚCI OPERACYJNEJ</w:t>
            </w:r>
          </w:p>
        </w:tc>
        <w:tc>
          <w:tcPr>
            <w:tcW w:w="708"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34D77">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248 229,50</w:t>
            </w:r>
          </w:p>
        </w:tc>
        <w:tc>
          <w:tcPr>
            <w:tcW w:w="728"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34D77">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1 722 491,55</w:t>
            </w:r>
          </w:p>
        </w:tc>
        <w:tc>
          <w:tcPr>
            <w:tcW w:w="729"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34D77">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1 209 226,28</w:t>
            </w:r>
          </w:p>
        </w:tc>
        <w:tc>
          <w:tcPr>
            <w:tcW w:w="729"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34D77">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1 368 478,02</w:t>
            </w:r>
          </w:p>
        </w:tc>
      </w:tr>
      <w:tr w:rsidR="00934D77" w:rsidRPr="00BD17D6" w:rsidTr="00121F58">
        <w:trPr>
          <w:trHeight w:val="330"/>
        </w:trPr>
        <w:tc>
          <w:tcPr>
            <w:tcW w:w="2107" w:type="pct"/>
            <w:tcBorders>
              <w:top w:val="nil"/>
              <w:left w:val="single" w:sz="4" w:space="0" w:color="auto"/>
              <w:bottom w:val="single" w:sz="4" w:space="0" w:color="auto"/>
              <w:right w:val="single" w:sz="4" w:space="0" w:color="auto"/>
            </w:tcBorders>
            <w:shd w:val="clear" w:color="auto" w:fill="auto"/>
            <w:noWrap/>
            <w:vAlign w:val="center"/>
            <w:hideMark/>
          </w:tcPr>
          <w:p w:rsidR="00934D77" w:rsidRPr="00BD17D6" w:rsidRDefault="00934D77" w:rsidP="00121F58">
            <w:pPr>
              <w:spacing w:after="0" w:line="240" w:lineRule="auto"/>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ZYSK BRUTTO</w:t>
            </w:r>
          </w:p>
        </w:tc>
        <w:tc>
          <w:tcPr>
            <w:tcW w:w="708"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34D77">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-237 646,21</w:t>
            </w:r>
          </w:p>
        </w:tc>
        <w:tc>
          <w:tcPr>
            <w:tcW w:w="728"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34D77">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747 706,98</w:t>
            </w:r>
          </w:p>
        </w:tc>
        <w:tc>
          <w:tcPr>
            <w:tcW w:w="729"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34D77">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-103 988,62</w:t>
            </w:r>
          </w:p>
        </w:tc>
        <w:tc>
          <w:tcPr>
            <w:tcW w:w="729"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34D77">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106 697,62</w:t>
            </w:r>
          </w:p>
        </w:tc>
      </w:tr>
      <w:tr w:rsidR="00934D77" w:rsidRPr="00BD17D6" w:rsidTr="00121F58">
        <w:trPr>
          <w:trHeight w:val="330"/>
        </w:trPr>
        <w:tc>
          <w:tcPr>
            <w:tcW w:w="2107" w:type="pct"/>
            <w:tcBorders>
              <w:top w:val="nil"/>
              <w:left w:val="single" w:sz="4" w:space="0" w:color="auto"/>
              <w:bottom w:val="single" w:sz="4" w:space="0" w:color="auto"/>
              <w:right w:val="single" w:sz="4" w:space="0" w:color="auto"/>
            </w:tcBorders>
            <w:shd w:val="clear" w:color="auto" w:fill="auto"/>
            <w:noWrap/>
            <w:vAlign w:val="center"/>
            <w:hideMark/>
          </w:tcPr>
          <w:p w:rsidR="00934D77" w:rsidRPr="00BD17D6" w:rsidRDefault="00934D77" w:rsidP="00121F58">
            <w:pPr>
              <w:spacing w:after="0" w:line="240" w:lineRule="auto"/>
              <w:rPr>
                <w:rFonts w:asciiTheme="minorHAnsi" w:eastAsia="Times New Roman" w:hAnsiTheme="minorHAnsi" w:cs="Arial"/>
                <w:lang w:eastAsia="pl-PL"/>
              </w:rPr>
            </w:pPr>
            <w:r w:rsidRPr="00BD17D6">
              <w:rPr>
                <w:rFonts w:asciiTheme="minorHAnsi" w:eastAsia="Times New Roman" w:hAnsiTheme="minorHAnsi" w:cs="Arial"/>
                <w:lang w:eastAsia="pl-PL"/>
              </w:rPr>
              <w:t>ZYSK NETTO</w:t>
            </w:r>
          </w:p>
        </w:tc>
        <w:tc>
          <w:tcPr>
            <w:tcW w:w="708"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34D77">
            <w:pPr>
              <w:spacing w:after="0" w:line="240" w:lineRule="auto"/>
              <w:jc w:val="right"/>
              <w:rPr>
                <w:rFonts w:asciiTheme="minorHAnsi" w:eastAsia="Times New Roman" w:hAnsiTheme="minorHAnsi" w:cs="Arial"/>
                <w:lang w:eastAsia="pl-PL"/>
              </w:rPr>
            </w:pPr>
            <w:r w:rsidRPr="00BD17D6">
              <w:rPr>
                <w:rFonts w:asciiTheme="minorHAnsi" w:eastAsia="Times New Roman" w:hAnsiTheme="minorHAnsi" w:cs="Arial"/>
                <w:lang w:eastAsia="pl-PL"/>
              </w:rPr>
              <w:t>-261 927,21</w:t>
            </w:r>
          </w:p>
        </w:tc>
        <w:tc>
          <w:tcPr>
            <w:tcW w:w="728"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34D77">
            <w:pPr>
              <w:spacing w:after="0" w:line="240" w:lineRule="auto"/>
              <w:jc w:val="right"/>
              <w:rPr>
                <w:rFonts w:asciiTheme="minorHAnsi" w:eastAsia="Times New Roman" w:hAnsiTheme="minorHAnsi" w:cs="Arial"/>
                <w:lang w:eastAsia="pl-PL"/>
              </w:rPr>
            </w:pPr>
            <w:r w:rsidRPr="00BD17D6">
              <w:rPr>
                <w:rFonts w:asciiTheme="minorHAnsi" w:eastAsia="Times New Roman" w:hAnsiTheme="minorHAnsi" w:cs="Arial"/>
                <w:lang w:eastAsia="pl-PL"/>
              </w:rPr>
              <w:t>567 524,98</w:t>
            </w:r>
          </w:p>
        </w:tc>
        <w:tc>
          <w:tcPr>
            <w:tcW w:w="729"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34D77">
            <w:pPr>
              <w:spacing w:after="0" w:line="240" w:lineRule="auto"/>
              <w:jc w:val="right"/>
              <w:rPr>
                <w:rFonts w:asciiTheme="minorHAnsi" w:eastAsia="Times New Roman" w:hAnsiTheme="minorHAnsi" w:cs="Arial"/>
                <w:lang w:eastAsia="pl-PL"/>
              </w:rPr>
            </w:pPr>
            <w:r w:rsidRPr="00BD17D6">
              <w:rPr>
                <w:rFonts w:asciiTheme="minorHAnsi" w:eastAsia="Times New Roman" w:hAnsiTheme="minorHAnsi" w:cs="Arial"/>
                <w:lang w:eastAsia="pl-PL"/>
              </w:rPr>
              <w:t>-165 262,62</w:t>
            </w:r>
          </w:p>
        </w:tc>
        <w:tc>
          <w:tcPr>
            <w:tcW w:w="729"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34D77">
            <w:pPr>
              <w:spacing w:after="0" w:line="240" w:lineRule="auto"/>
              <w:jc w:val="right"/>
              <w:rPr>
                <w:rFonts w:asciiTheme="minorHAnsi" w:eastAsia="Times New Roman" w:hAnsiTheme="minorHAnsi" w:cs="Arial"/>
                <w:lang w:eastAsia="pl-PL"/>
              </w:rPr>
            </w:pPr>
            <w:r w:rsidRPr="00BD17D6">
              <w:rPr>
                <w:rFonts w:asciiTheme="minorHAnsi" w:eastAsia="Times New Roman" w:hAnsiTheme="minorHAnsi" w:cs="Arial"/>
                <w:lang w:eastAsia="pl-PL"/>
              </w:rPr>
              <w:t>25 144,62</w:t>
            </w:r>
          </w:p>
        </w:tc>
      </w:tr>
    </w:tbl>
    <w:p w:rsidR="00934D77" w:rsidRPr="00BD17D6" w:rsidRDefault="00934D77" w:rsidP="00934D77">
      <w:pPr>
        <w:spacing w:after="0" w:line="240" w:lineRule="auto"/>
        <w:jc w:val="both"/>
        <w:rPr>
          <w:rFonts w:asciiTheme="minorHAnsi" w:hAnsiTheme="minorHAnsi"/>
          <w:sz w:val="20"/>
          <w:szCs w:val="24"/>
        </w:rPr>
      </w:pPr>
    </w:p>
    <w:p w:rsidR="00934D77" w:rsidRPr="00BD17D6" w:rsidRDefault="00934D77" w:rsidP="00934D77">
      <w:pPr>
        <w:spacing w:after="0" w:line="240" w:lineRule="auto"/>
        <w:jc w:val="both"/>
        <w:rPr>
          <w:rFonts w:asciiTheme="minorHAnsi" w:hAnsiTheme="minorHAnsi"/>
          <w:b/>
          <w:sz w:val="24"/>
          <w:szCs w:val="24"/>
        </w:rPr>
      </w:pPr>
      <w:r w:rsidRPr="00BD17D6">
        <w:rPr>
          <w:rFonts w:asciiTheme="minorHAnsi" w:hAnsiTheme="minorHAnsi"/>
          <w:b/>
          <w:sz w:val="24"/>
          <w:szCs w:val="24"/>
        </w:rPr>
        <w:t>Kapitał</w:t>
      </w:r>
    </w:p>
    <w:p w:rsidR="00934D77" w:rsidRPr="00BD17D6" w:rsidRDefault="00934D77" w:rsidP="00934D77">
      <w:pPr>
        <w:spacing w:after="0" w:line="240" w:lineRule="auto"/>
        <w:jc w:val="both"/>
        <w:rPr>
          <w:rFonts w:asciiTheme="minorHAnsi" w:hAnsiTheme="minorHAnsi"/>
          <w:sz w:val="24"/>
          <w:szCs w:val="24"/>
        </w:rPr>
      </w:pPr>
      <w:r w:rsidRPr="00BD17D6">
        <w:rPr>
          <w:rFonts w:asciiTheme="minorHAnsi" w:hAnsiTheme="minorHAnsi"/>
          <w:sz w:val="24"/>
          <w:szCs w:val="24"/>
        </w:rPr>
        <w:t xml:space="preserve">Na koniec roku kapitał podstawowy Spółki tworzyły 175 564 udziały o wartości nominalnej 500 zł. Udziałowcami w Spółce są Miasto Sieradz, posiadające 93,77 % udziałów oraz Gmina Sieradz – właściciel 6,23% udziałów. </w:t>
      </w:r>
    </w:p>
    <w:p w:rsidR="00934D77" w:rsidRPr="00BD17D6" w:rsidRDefault="00934D77" w:rsidP="00934D77">
      <w:pPr>
        <w:spacing w:after="0" w:line="240" w:lineRule="auto"/>
        <w:jc w:val="both"/>
        <w:rPr>
          <w:rFonts w:asciiTheme="minorHAnsi" w:hAnsiTheme="minorHAnsi"/>
          <w:sz w:val="16"/>
          <w:szCs w:val="24"/>
        </w:rPr>
      </w:pPr>
    </w:p>
    <w:tbl>
      <w:tblPr>
        <w:tblW w:w="4964" w:type="pct"/>
        <w:tblInd w:w="70" w:type="dxa"/>
        <w:tblCellMar>
          <w:left w:w="70" w:type="dxa"/>
          <w:right w:w="70" w:type="dxa"/>
        </w:tblCellMar>
        <w:tblLook w:val="04A0" w:firstRow="1" w:lastRow="0" w:firstColumn="1" w:lastColumn="0" w:noHBand="0" w:noVBand="1"/>
      </w:tblPr>
      <w:tblGrid>
        <w:gridCol w:w="3370"/>
        <w:gridCol w:w="1445"/>
        <w:gridCol w:w="1445"/>
        <w:gridCol w:w="1445"/>
        <w:gridCol w:w="1441"/>
      </w:tblGrid>
      <w:tr w:rsidR="00934D77" w:rsidRPr="00BD17D6" w:rsidTr="00644E9A">
        <w:trPr>
          <w:trHeight w:val="330"/>
        </w:trPr>
        <w:tc>
          <w:tcPr>
            <w:tcW w:w="1842" w:type="pct"/>
            <w:tcBorders>
              <w:top w:val="single" w:sz="4" w:space="0" w:color="auto"/>
              <w:left w:val="single" w:sz="4" w:space="0" w:color="auto"/>
              <w:bottom w:val="nil"/>
              <w:right w:val="single" w:sz="4" w:space="0" w:color="auto"/>
            </w:tcBorders>
            <w:shd w:val="clear" w:color="000000" w:fill="C0C0C0"/>
            <w:noWrap/>
            <w:vAlign w:val="center"/>
            <w:hideMark/>
          </w:tcPr>
          <w:p w:rsidR="00934D77" w:rsidRPr="00BD17D6" w:rsidRDefault="00934D77"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Treść</w:t>
            </w:r>
          </w:p>
        </w:tc>
        <w:tc>
          <w:tcPr>
            <w:tcW w:w="790" w:type="pct"/>
            <w:tcBorders>
              <w:top w:val="single" w:sz="4" w:space="0" w:color="auto"/>
              <w:left w:val="nil"/>
              <w:bottom w:val="single" w:sz="4" w:space="0" w:color="auto"/>
              <w:right w:val="single" w:sz="4" w:space="0" w:color="auto"/>
            </w:tcBorders>
            <w:shd w:val="clear" w:color="000000" w:fill="C0C0C0"/>
            <w:noWrap/>
            <w:vAlign w:val="center"/>
            <w:hideMark/>
          </w:tcPr>
          <w:p w:rsidR="00934D77" w:rsidRPr="00BD17D6" w:rsidRDefault="00934D77"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2011</w:t>
            </w:r>
          </w:p>
        </w:tc>
        <w:tc>
          <w:tcPr>
            <w:tcW w:w="790" w:type="pct"/>
            <w:tcBorders>
              <w:top w:val="single" w:sz="4" w:space="0" w:color="auto"/>
              <w:left w:val="nil"/>
              <w:bottom w:val="single" w:sz="4" w:space="0" w:color="auto"/>
              <w:right w:val="single" w:sz="4" w:space="0" w:color="auto"/>
            </w:tcBorders>
            <w:shd w:val="clear" w:color="000000" w:fill="C0C0C0"/>
            <w:noWrap/>
            <w:vAlign w:val="center"/>
            <w:hideMark/>
          </w:tcPr>
          <w:p w:rsidR="00934D77" w:rsidRPr="00BD17D6" w:rsidRDefault="00934D77"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2012</w:t>
            </w:r>
          </w:p>
        </w:tc>
        <w:tc>
          <w:tcPr>
            <w:tcW w:w="790" w:type="pct"/>
            <w:tcBorders>
              <w:top w:val="single" w:sz="4" w:space="0" w:color="auto"/>
              <w:left w:val="nil"/>
              <w:bottom w:val="single" w:sz="4" w:space="0" w:color="auto"/>
              <w:right w:val="single" w:sz="4" w:space="0" w:color="auto"/>
            </w:tcBorders>
            <w:shd w:val="clear" w:color="000000" w:fill="C0C0C0"/>
            <w:noWrap/>
            <w:vAlign w:val="center"/>
            <w:hideMark/>
          </w:tcPr>
          <w:p w:rsidR="00934D77" w:rsidRPr="00BD17D6" w:rsidRDefault="00934D77"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2013</w:t>
            </w:r>
          </w:p>
        </w:tc>
        <w:tc>
          <w:tcPr>
            <w:tcW w:w="790" w:type="pct"/>
            <w:tcBorders>
              <w:top w:val="single" w:sz="4" w:space="0" w:color="auto"/>
              <w:left w:val="nil"/>
              <w:bottom w:val="single" w:sz="4" w:space="0" w:color="auto"/>
              <w:right w:val="single" w:sz="4" w:space="0" w:color="auto"/>
            </w:tcBorders>
            <w:shd w:val="clear" w:color="000000" w:fill="C0C0C0"/>
            <w:noWrap/>
            <w:vAlign w:val="center"/>
            <w:hideMark/>
          </w:tcPr>
          <w:p w:rsidR="00934D77" w:rsidRPr="00BD17D6" w:rsidRDefault="00934D77" w:rsidP="00644E9A">
            <w:pPr>
              <w:spacing w:after="0" w:line="240" w:lineRule="auto"/>
              <w:jc w:val="center"/>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2014</w:t>
            </w:r>
          </w:p>
        </w:tc>
      </w:tr>
      <w:tr w:rsidR="00934D77" w:rsidRPr="00BD17D6" w:rsidTr="004D0DA4">
        <w:trPr>
          <w:trHeight w:val="330"/>
        </w:trPr>
        <w:tc>
          <w:tcPr>
            <w:tcW w:w="184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D77" w:rsidRPr="00BD17D6" w:rsidRDefault="00934D77" w:rsidP="004D0DA4">
            <w:pPr>
              <w:spacing w:after="0" w:line="240" w:lineRule="auto"/>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KAPITAŁ PODSTAWOWY</w:t>
            </w:r>
          </w:p>
        </w:tc>
        <w:tc>
          <w:tcPr>
            <w:tcW w:w="790"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34D77">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50 776 000,00</w:t>
            </w:r>
          </w:p>
        </w:tc>
        <w:tc>
          <w:tcPr>
            <w:tcW w:w="790"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34D77">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51 540 000,00</w:t>
            </w:r>
          </w:p>
        </w:tc>
        <w:tc>
          <w:tcPr>
            <w:tcW w:w="790"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34D77">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86 701 000,00</w:t>
            </w:r>
          </w:p>
        </w:tc>
        <w:tc>
          <w:tcPr>
            <w:tcW w:w="790"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34D77">
            <w:pPr>
              <w:spacing w:after="0" w:line="240" w:lineRule="auto"/>
              <w:jc w:val="right"/>
              <w:rPr>
                <w:rFonts w:asciiTheme="minorHAnsi" w:eastAsia="Times New Roman" w:hAnsiTheme="minorHAnsi" w:cs="Arial"/>
                <w:b/>
                <w:bCs/>
                <w:sz w:val="20"/>
                <w:szCs w:val="20"/>
                <w:lang w:eastAsia="pl-PL"/>
              </w:rPr>
            </w:pPr>
            <w:r w:rsidRPr="00BD17D6">
              <w:rPr>
                <w:rFonts w:asciiTheme="minorHAnsi" w:eastAsia="Times New Roman" w:hAnsiTheme="minorHAnsi" w:cs="Arial"/>
                <w:b/>
                <w:bCs/>
                <w:sz w:val="20"/>
                <w:szCs w:val="20"/>
                <w:lang w:eastAsia="pl-PL"/>
              </w:rPr>
              <w:t>86 701 000,00</w:t>
            </w:r>
          </w:p>
        </w:tc>
      </w:tr>
      <w:tr w:rsidR="00934D77" w:rsidRPr="00BD17D6" w:rsidTr="004D0DA4">
        <w:trPr>
          <w:trHeight w:val="330"/>
        </w:trPr>
        <w:tc>
          <w:tcPr>
            <w:tcW w:w="1842" w:type="pct"/>
            <w:tcBorders>
              <w:top w:val="nil"/>
              <w:left w:val="single" w:sz="4" w:space="0" w:color="auto"/>
              <w:bottom w:val="single" w:sz="4" w:space="0" w:color="auto"/>
              <w:right w:val="single" w:sz="4" w:space="0" w:color="auto"/>
            </w:tcBorders>
            <w:shd w:val="clear" w:color="auto" w:fill="auto"/>
            <w:noWrap/>
            <w:vAlign w:val="center"/>
            <w:hideMark/>
          </w:tcPr>
          <w:p w:rsidR="00934D77" w:rsidRPr="00BD17D6" w:rsidRDefault="00934D77" w:rsidP="004D0DA4">
            <w:pPr>
              <w:spacing w:after="0" w:line="240" w:lineRule="auto"/>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KAPITAŁ ZAPASOWY</w:t>
            </w:r>
          </w:p>
        </w:tc>
        <w:tc>
          <w:tcPr>
            <w:tcW w:w="790"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34D77">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6 639 678,23</w:t>
            </w:r>
          </w:p>
        </w:tc>
        <w:tc>
          <w:tcPr>
            <w:tcW w:w="790"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34D77">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6 377 751,02</w:t>
            </w:r>
          </w:p>
        </w:tc>
        <w:tc>
          <w:tcPr>
            <w:tcW w:w="790"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34D77">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6 385 276,00</w:t>
            </w:r>
          </w:p>
        </w:tc>
        <w:tc>
          <w:tcPr>
            <w:tcW w:w="790"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34D77">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6 220 013,38</w:t>
            </w:r>
          </w:p>
        </w:tc>
      </w:tr>
      <w:tr w:rsidR="00934D77" w:rsidRPr="00BD17D6" w:rsidTr="004D0DA4">
        <w:trPr>
          <w:trHeight w:val="330"/>
        </w:trPr>
        <w:tc>
          <w:tcPr>
            <w:tcW w:w="1842" w:type="pct"/>
            <w:tcBorders>
              <w:top w:val="nil"/>
              <w:left w:val="single" w:sz="4" w:space="0" w:color="auto"/>
              <w:bottom w:val="single" w:sz="4" w:space="0" w:color="auto"/>
              <w:right w:val="single" w:sz="4" w:space="0" w:color="auto"/>
            </w:tcBorders>
            <w:shd w:val="clear" w:color="auto" w:fill="auto"/>
            <w:noWrap/>
            <w:vAlign w:val="center"/>
            <w:hideMark/>
          </w:tcPr>
          <w:p w:rsidR="00934D77" w:rsidRPr="00BD17D6" w:rsidRDefault="00934D77" w:rsidP="004D0DA4">
            <w:pPr>
              <w:spacing w:after="0" w:line="240" w:lineRule="auto"/>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KAPITAŁ REZERWOWY</w:t>
            </w:r>
          </w:p>
        </w:tc>
        <w:tc>
          <w:tcPr>
            <w:tcW w:w="790"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34D77">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850 705,02</w:t>
            </w:r>
          </w:p>
        </w:tc>
        <w:tc>
          <w:tcPr>
            <w:tcW w:w="790"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34D77">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35 117 705,02</w:t>
            </w:r>
          </w:p>
        </w:tc>
        <w:tc>
          <w:tcPr>
            <w:tcW w:w="790"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34D77">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632 705,02</w:t>
            </w:r>
          </w:p>
        </w:tc>
        <w:tc>
          <w:tcPr>
            <w:tcW w:w="790" w:type="pct"/>
            <w:tcBorders>
              <w:top w:val="nil"/>
              <w:left w:val="nil"/>
              <w:bottom w:val="single" w:sz="4" w:space="0" w:color="auto"/>
              <w:right w:val="single" w:sz="4" w:space="0" w:color="auto"/>
            </w:tcBorders>
            <w:shd w:val="clear" w:color="auto" w:fill="auto"/>
            <w:noWrap/>
            <w:vAlign w:val="center"/>
            <w:hideMark/>
          </w:tcPr>
          <w:p w:rsidR="00934D77" w:rsidRPr="00BD17D6" w:rsidRDefault="00934D77" w:rsidP="00934D77">
            <w:pPr>
              <w:spacing w:after="0" w:line="240" w:lineRule="auto"/>
              <w:jc w:val="right"/>
              <w:rPr>
                <w:rFonts w:asciiTheme="minorHAnsi" w:eastAsia="Times New Roman" w:hAnsiTheme="minorHAnsi" w:cs="Arial"/>
                <w:sz w:val="20"/>
                <w:szCs w:val="20"/>
                <w:lang w:eastAsia="pl-PL"/>
              </w:rPr>
            </w:pPr>
            <w:r w:rsidRPr="00BD17D6">
              <w:rPr>
                <w:rFonts w:asciiTheme="minorHAnsi" w:eastAsia="Times New Roman" w:hAnsiTheme="minorHAnsi" w:cs="Arial"/>
                <w:sz w:val="20"/>
                <w:szCs w:val="20"/>
                <w:lang w:eastAsia="pl-PL"/>
              </w:rPr>
              <w:t>1 167 705,02</w:t>
            </w:r>
          </w:p>
        </w:tc>
      </w:tr>
    </w:tbl>
    <w:p w:rsidR="00C03091" w:rsidRPr="00BD17D6" w:rsidRDefault="00C03091" w:rsidP="00A504A7">
      <w:pPr>
        <w:pStyle w:val="Bezodstpw"/>
        <w:jc w:val="both"/>
        <w:rPr>
          <w:rFonts w:asciiTheme="minorHAnsi" w:hAnsiTheme="minorHAnsi"/>
          <w:b/>
          <w:sz w:val="24"/>
          <w:szCs w:val="24"/>
        </w:rPr>
      </w:pPr>
    </w:p>
    <w:p w:rsidR="00A8394D" w:rsidRPr="00BD17D6" w:rsidRDefault="00A504A7" w:rsidP="00A504A7">
      <w:pPr>
        <w:pStyle w:val="Bezodstpw"/>
        <w:jc w:val="both"/>
        <w:rPr>
          <w:rFonts w:asciiTheme="minorHAnsi" w:hAnsiTheme="minorHAnsi"/>
          <w:b/>
          <w:sz w:val="24"/>
          <w:szCs w:val="24"/>
        </w:rPr>
      </w:pPr>
      <w:r w:rsidRPr="00A12164">
        <w:rPr>
          <w:rFonts w:asciiTheme="minorHAnsi" w:hAnsiTheme="minorHAnsi"/>
          <w:b/>
          <w:sz w:val="24"/>
          <w:szCs w:val="24"/>
        </w:rPr>
        <w:t>Podsumowanie</w:t>
      </w:r>
      <w:r w:rsidR="00A8394D" w:rsidRPr="00BD17D6">
        <w:rPr>
          <w:rFonts w:asciiTheme="minorHAnsi" w:hAnsiTheme="minorHAnsi"/>
          <w:b/>
          <w:sz w:val="24"/>
          <w:szCs w:val="24"/>
        </w:rPr>
        <w:t xml:space="preserve"> </w:t>
      </w:r>
    </w:p>
    <w:p w:rsidR="00A504A7" w:rsidRPr="00BD17D6" w:rsidRDefault="00AC427A" w:rsidP="00A504A7">
      <w:pPr>
        <w:pStyle w:val="Bezodstpw"/>
        <w:jc w:val="both"/>
        <w:rPr>
          <w:rFonts w:asciiTheme="minorHAnsi" w:hAnsiTheme="minorHAnsi"/>
          <w:b/>
          <w:sz w:val="24"/>
          <w:szCs w:val="24"/>
        </w:rPr>
      </w:pPr>
      <w:r w:rsidRPr="00BD17D6">
        <w:rPr>
          <w:rFonts w:asciiTheme="minorHAnsi" w:hAnsiTheme="minorHAnsi"/>
          <w:sz w:val="24"/>
          <w:szCs w:val="24"/>
        </w:rPr>
        <w:t>Zgromadzenie Wspólników zatwierdziło sprawozdania finansowe Spółki oraz udzieliło absolutorium Zarządowi i Radzie Nadzorczej. Podjęto także uchwałę</w:t>
      </w:r>
      <w:r w:rsidR="00A12164">
        <w:rPr>
          <w:rFonts w:asciiTheme="minorHAnsi" w:hAnsiTheme="minorHAnsi"/>
          <w:sz w:val="24"/>
          <w:szCs w:val="24"/>
        </w:rPr>
        <w:t>, że osiągnięty w 2014 r. zysk netto w wysokości 25 144,62 zł zostanie przeznaczony na zwiększenie kapitału zapasowego spółki.</w:t>
      </w:r>
    </w:p>
    <w:p w:rsidR="00EC2889" w:rsidRPr="00BD17D6" w:rsidRDefault="00EC2889" w:rsidP="00C03091">
      <w:pPr>
        <w:pStyle w:val="Bezodstpw"/>
        <w:rPr>
          <w:rFonts w:asciiTheme="minorHAnsi" w:hAnsiTheme="minorHAnsi"/>
          <w:b/>
          <w:i/>
          <w:sz w:val="28"/>
          <w:u w:val="single"/>
        </w:rPr>
      </w:pPr>
    </w:p>
    <w:p w:rsidR="00392501" w:rsidRPr="00BD17D6" w:rsidRDefault="00C03091" w:rsidP="00C03091">
      <w:pPr>
        <w:pStyle w:val="Bezodstpw"/>
        <w:rPr>
          <w:rFonts w:asciiTheme="minorHAnsi" w:hAnsiTheme="minorHAnsi"/>
          <w:b/>
          <w:sz w:val="24"/>
        </w:rPr>
      </w:pPr>
      <w:r w:rsidRPr="00BD17D6">
        <w:rPr>
          <w:rFonts w:asciiTheme="minorHAnsi" w:hAnsiTheme="minorHAnsi"/>
          <w:b/>
          <w:i/>
          <w:sz w:val="28"/>
          <w:u w:val="single"/>
        </w:rPr>
        <w:t>Zakład</w:t>
      </w:r>
      <w:r w:rsidR="00392501" w:rsidRPr="00BD17D6">
        <w:rPr>
          <w:rFonts w:asciiTheme="minorHAnsi" w:hAnsiTheme="minorHAnsi"/>
          <w:b/>
          <w:i/>
          <w:sz w:val="28"/>
          <w:u w:val="single"/>
        </w:rPr>
        <w:t xml:space="preserve"> Ochrony Mienia Spółka z o. o. w Sieradzu</w:t>
      </w:r>
    </w:p>
    <w:p w:rsidR="008765EC" w:rsidRDefault="008765EC" w:rsidP="00EC2889">
      <w:pPr>
        <w:spacing w:after="0" w:line="240" w:lineRule="auto"/>
        <w:jc w:val="both"/>
        <w:rPr>
          <w:rFonts w:asciiTheme="minorHAnsi" w:hAnsiTheme="minorHAnsi"/>
          <w:b/>
          <w:sz w:val="24"/>
          <w:szCs w:val="24"/>
        </w:rPr>
      </w:pPr>
    </w:p>
    <w:p w:rsidR="00EC2889" w:rsidRDefault="00EC2889" w:rsidP="00EC2889">
      <w:pPr>
        <w:spacing w:after="0" w:line="240" w:lineRule="auto"/>
        <w:jc w:val="both"/>
        <w:rPr>
          <w:rFonts w:asciiTheme="minorHAnsi" w:hAnsiTheme="minorHAnsi"/>
          <w:b/>
          <w:sz w:val="24"/>
          <w:szCs w:val="24"/>
        </w:rPr>
      </w:pPr>
      <w:r w:rsidRPr="00EC2889">
        <w:rPr>
          <w:rFonts w:asciiTheme="minorHAnsi" w:hAnsiTheme="minorHAnsi"/>
          <w:b/>
          <w:sz w:val="24"/>
          <w:szCs w:val="24"/>
        </w:rPr>
        <w:t xml:space="preserve">Działalność Przedsiębiorstwa </w:t>
      </w:r>
    </w:p>
    <w:p w:rsidR="008765EC" w:rsidRPr="008765EC" w:rsidRDefault="008765EC" w:rsidP="00EC2889">
      <w:pPr>
        <w:spacing w:after="0" w:line="240" w:lineRule="auto"/>
        <w:jc w:val="both"/>
        <w:rPr>
          <w:rFonts w:asciiTheme="minorHAnsi" w:hAnsiTheme="minorHAnsi"/>
          <w:b/>
          <w:sz w:val="6"/>
          <w:szCs w:val="24"/>
        </w:rPr>
      </w:pPr>
    </w:p>
    <w:p w:rsidR="00EC2889" w:rsidRPr="00EC2889" w:rsidRDefault="00EC2889" w:rsidP="00EC2889">
      <w:pPr>
        <w:spacing w:after="0" w:line="240" w:lineRule="auto"/>
        <w:jc w:val="both"/>
        <w:rPr>
          <w:rFonts w:asciiTheme="minorHAnsi" w:hAnsiTheme="minorHAnsi"/>
          <w:sz w:val="24"/>
          <w:szCs w:val="24"/>
        </w:rPr>
      </w:pPr>
      <w:r w:rsidRPr="00EC2889">
        <w:rPr>
          <w:rFonts w:asciiTheme="minorHAnsi" w:hAnsiTheme="minorHAnsi"/>
          <w:sz w:val="24"/>
          <w:szCs w:val="24"/>
        </w:rPr>
        <w:t xml:space="preserve">Zakład Ochrony Mienia osiąga przychody z czterech rodzajów działalności: monitoringu, ochrony fizycznej, konwoju wartości pieniężnych oraz montażu i konserwacji systemów sygnalizacji włamania i napadu. W porównaniu z poprzednimi okresami w roku 2014 obserwujemy spadek przychodów  jedynie w ochronie fizycznej. </w:t>
      </w:r>
    </w:p>
    <w:p w:rsidR="00EC2889" w:rsidRPr="00EC2889" w:rsidRDefault="00EC2889" w:rsidP="00EC2889">
      <w:pPr>
        <w:spacing w:after="0" w:line="240" w:lineRule="auto"/>
        <w:rPr>
          <w:rFonts w:asciiTheme="minorHAnsi" w:hAnsiTheme="minorHAnsi"/>
          <w:sz w:val="14"/>
          <w:szCs w:val="24"/>
        </w:rPr>
      </w:pPr>
    </w:p>
    <w:p w:rsidR="00EC2889" w:rsidRPr="00EC2889" w:rsidRDefault="00EC2889" w:rsidP="00EC2889">
      <w:pPr>
        <w:spacing w:after="0" w:line="240" w:lineRule="auto"/>
        <w:rPr>
          <w:rFonts w:asciiTheme="minorHAnsi" w:hAnsiTheme="minorHAnsi"/>
          <w:i/>
          <w:szCs w:val="24"/>
        </w:rPr>
      </w:pPr>
      <w:r w:rsidRPr="00EC2889">
        <w:rPr>
          <w:rFonts w:asciiTheme="minorHAnsi" w:hAnsiTheme="minorHAnsi"/>
          <w:i/>
          <w:szCs w:val="24"/>
        </w:rPr>
        <w:t xml:space="preserve"> Przychody w tys. zł</w:t>
      </w:r>
    </w:p>
    <w:tbl>
      <w:tblPr>
        <w:tblW w:w="4943" w:type="pct"/>
        <w:tblInd w:w="70" w:type="dxa"/>
        <w:tblLayout w:type="fixed"/>
        <w:tblCellMar>
          <w:left w:w="70" w:type="dxa"/>
          <w:right w:w="70" w:type="dxa"/>
        </w:tblCellMar>
        <w:tblLook w:val="04A0" w:firstRow="1" w:lastRow="0" w:firstColumn="1" w:lastColumn="0" w:noHBand="0" w:noVBand="1"/>
      </w:tblPr>
      <w:tblGrid>
        <w:gridCol w:w="405"/>
        <w:gridCol w:w="1710"/>
        <w:gridCol w:w="831"/>
        <w:gridCol w:w="865"/>
        <w:gridCol w:w="816"/>
        <w:gridCol w:w="951"/>
        <w:gridCol w:w="816"/>
        <w:gridCol w:w="951"/>
        <w:gridCol w:w="811"/>
        <w:gridCol w:w="951"/>
      </w:tblGrid>
      <w:tr w:rsidR="00EC2889" w:rsidRPr="006749EC" w:rsidTr="00337628">
        <w:trPr>
          <w:trHeight w:val="425"/>
        </w:trPr>
        <w:tc>
          <w:tcPr>
            <w:tcW w:w="2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center"/>
              <w:rPr>
                <w:rFonts w:asciiTheme="minorHAnsi" w:eastAsia="Times New Roman" w:hAnsiTheme="minorHAnsi"/>
                <w:b/>
                <w:bCs/>
                <w:color w:val="000000"/>
                <w:sz w:val="20"/>
                <w:szCs w:val="20"/>
                <w:lang w:eastAsia="pl-PL"/>
              </w:rPr>
            </w:pPr>
            <w:r w:rsidRPr="006749EC">
              <w:rPr>
                <w:rFonts w:asciiTheme="minorHAnsi" w:eastAsia="Times New Roman" w:hAnsiTheme="minorHAnsi"/>
                <w:b/>
                <w:bCs/>
                <w:color w:val="000000"/>
                <w:sz w:val="20"/>
                <w:szCs w:val="20"/>
                <w:lang w:eastAsia="pl-PL"/>
              </w:rPr>
              <w:t>Lp.</w:t>
            </w:r>
          </w:p>
        </w:tc>
        <w:tc>
          <w:tcPr>
            <w:tcW w:w="939" w:type="pct"/>
            <w:tcBorders>
              <w:top w:val="single" w:sz="4" w:space="0" w:color="auto"/>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center"/>
              <w:rPr>
                <w:rFonts w:asciiTheme="minorHAnsi" w:eastAsia="Times New Roman" w:hAnsiTheme="minorHAnsi"/>
                <w:b/>
                <w:bCs/>
                <w:color w:val="000000"/>
                <w:sz w:val="20"/>
                <w:szCs w:val="20"/>
                <w:lang w:eastAsia="pl-PL"/>
              </w:rPr>
            </w:pPr>
            <w:r w:rsidRPr="006749EC">
              <w:rPr>
                <w:rFonts w:asciiTheme="minorHAnsi" w:eastAsia="Times New Roman" w:hAnsiTheme="minorHAnsi"/>
                <w:b/>
                <w:bCs/>
                <w:color w:val="000000"/>
                <w:sz w:val="20"/>
                <w:szCs w:val="20"/>
                <w:lang w:eastAsia="pl-PL"/>
              </w:rPr>
              <w:t>Rodzaj usługi</w:t>
            </w:r>
          </w:p>
        </w:tc>
        <w:tc>
          <w:tcPr>
            <w:tcW w:w="456" w:type="pct"/>
            <w:tcBorders>
              <w:top w:val="single" w:sz="4" w:space="0" w:color="auto"/>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center"/>
              <w:rPr>
                <w:rFonts w:asciiTheme="minorHAnsi" w:eastAsia="Times New Roman" w:hAnsiTheme="minorHAnsi"/>
                <w:b/>
                <w:bCs/>
                <w:color w:val="000000"/>
                <w:sz w:val="20"/>
                <w:szCs w:val="20"/>
                <w:lang w:eastAsia="pl-PL"/>
              </w:rPr>
            </w:pPr>
            <w:r w:rsidRPr="006749EC">
              <w:rPr>
                <w:rFonts w:asciiTheme="minorHAnsi" w:eastAsia="Times New Roman" w:hAnsiTheme="minorHAnsi"/>
                <w:b/>
                <w:bCs/>
                <w:color w:val="000000"/>
                <w:sz w:val="20"/>
                <w:szCs w:val="20"/>
                <w:lang w:eastAsia="pl-PL"/>
              </w:rPr>
              <w:t>2011</w:t>
            </w:r>
          </w:p>
        </w:tc>
        <w:tc>
          <w:tcPr>
            <w:tcW w:w="475" w:type="pct"/>
            <w:tcBorders>
              <w:top w:val="single" w:sz="4" w:space="0" w:color="auto"/>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center"/>
              <w:rPr>
                <w:rFonts w:asciiTheme="minorHAnsi" w:eastAsia="Times New Roman" w:hAnsiTheme="minorHAnsi"/>
                <w:b/>
                <w:bCs/>
                <w:color w:val="000000"/>
                <w:sz w:val="20"/>
                <w:szCs w:val="20"/>
                <w:lang w:eastAsia="pl-PL"/>
              </w:rPr>
            </w:pPr>
            <w:r w:rsidRPr="006749EC">
              <w:rPr>
                <w:rFonts w:asciiTheme="minorHAnsi" w:eastAsia="Times New Roman" w:hAnsiTheme="minorHAnsi"/>
                <w:b/>
                <w:bCs/>
                <w:color w:val="000000"/>
                <w:sz w:val="20"/>
                <w:szCs w:val="20"/>
                <w:lang w:eastAsia="pl-PL"/>
              </w:rPr>
              <w:t>udział %</w:t>
            </w:r>
          </w:p>
        </w:tc>
        <w:tc>
          <w:tcPr>
            <w:tcW w:w="448" w:type="pct"/>
            <w:tcBorders>
              <w:top w:val="single" w:sz="4" w:space="0" w:color="auto"/>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center"/>
              <w:rPr>
                <w:rFonts w:asciiTheme="minorHAnsi" w:eastAsia="Times New Roman" w:hAnsiTheme="minorHAnsi"/>
                <w:b/>
                <w:bCs/>
                <w:color w:val="000000"/>
                <w:sz w:val="20"/>
                <w:szCs w:val="20"/>
                <w:lang w:eastAsia="pl-PL"/>
              </w:rPr>
            </w:pPr>
            <w:r w:rsidRPr="006749EC">
              <w:rPr>
                <w:rFonts w:asciiTheme="minorHAnsi" w:eastAsia="Times New Roman" w:hAnsiTheme="minorHAnsi"/>
                <w:b/>
                <w:bCs/>
                <w:color w:val="000000"/>
                <w:sz w:val="20"/>
                <w:szCs w:val="20"/>
                <w:lang w:eastAsia="pl-PL"/>
              </w:rPr>
              <w:t>2012</w:t>
            </w:r>
          </w:p>
        </w:tc>
        <w:tc>
          <w:tcPr>
            <w:tcW w:w="522" w:type="pct"/>
            <w:tcBorders>
              <w:top w:val="single" w:sz="4" w:space="0" w:color="auto"/>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center"/>
              <w:rPr>
                <w:rFonts w:asciiTheme="minorHAnsi" w:eastAsia="Times New Roman" w:hAnsiTheme="minorHAnsi"/>
                <w:b/>
                <w:bCs/>
                <w:color w:val="000000"/>
                <w:sz w:val="20"/>
                <w:szCs w:val="20"/>
                <w:lang w:eastAsia="pl-PL"/>
              </w:rPr>
            </w:pPr>
            <w:r w:rsidRPr="006749EC">
              <w:rPr>
                <w:rFonts w:asciiTheme="minorHAnsi" w:eastAsia="Times New Roman" w:hAnsiTheme="minorHAnsi"/>
                <w:b/>
                <w:bCs/>
                <w:color w:val="000000"/>
                <w:sz w:val="20"/>
                <w:szCs w:val="20"/>
                <w:lang w:eastAsia="pl-PL"/>
              </w:rPr>
              <w:t>udział %</w:t>
            </w:r>
          </w:p>
        </w:tc>
        <w:tc>
          <w:tcPr>
            <w:tcW w:w="448" w:type="pct"/>
            <w:tcBorders>
              <w:top w:val="single" w:sz="4" w:space="0" w:color="auto"/>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center"/>
              <w:rPr>
                <w:rFonts w:asciiTheme="minorHAnsi" w:eastAsia="Times New Roman" w:hAnsiTheme="minorHAnsi"/>
                <w:b/>
                <w:bCs/>
                <w:color w:val="000000"/>
                <w:sz w:val="20"/>
                <w:szCs w:val="20"/>
                <w:lang w:eastAsia="pl-PL"/>
              </w:rPr>
            </w:pPr>
            <w:r w:rsidRPr="006749EC">
              <w:rPr>
                <w:rFonts w:asciiTheme="minorHAnsi" w:eastAsia="Times New Roman" w:hAnsiTheme="minorHAnsi"/>
                <w:b/>
                <w:bCs/>
                <w:color w:val="000000"/>
                <w:sz w:val="20"/>
                <w:szCs w:val="20"/>
                <w:lang w:eastAsia="pl-PL"/>
              </w:rPr>
              <w:t>2013</w:t>
            </w:r>
          </w:p>
        </w:tc>
        <w:tc>
          <w:tcPr>
            <w:tcW w:w="522" w:type="pct"/>
            <w:tcBorders>
              <w:top w:val="single" w:sz="4" w:space="0" w:color="auto"/>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center"/>
              <w:rPr>
                <w:rFonts w:asciiTheme="minorHAnsi" w:eastAsia="Times New Roman" w:hAnsiTheme="minorHAnsi"/>
                <w:b/>
                <w:bCs/>
                <w:color w:val="000000"/>
                <w:sz w:val="20"/>
                <w:szCs w:val="20"/>
                <w:lang w:eastAsia="pl-PL"/>
              </w:rPr>
            </w:pPr>
            <w:r w:rsidRPr="006749EC">
              <w:rPr>
                <w:rFonts w:asciiTheme="minorHAnsi" w:eastAsia="Times New Roman" w:hAnsiTheme="minorHAnsi"/>
                <w:b/>
                <w:bCs/>
                <w:color w:val="000000"/>
                <w:sz w:val="20"/>
                <w:szCs w:val="20"/>
                <w:lang w:eastAsia="pl-PL"/>
              </w:rPr>
              <w:t>udział %</w:t>
            </w:r>
          </w:p>
        </w:tc>
        <w:tc>
          <w:tcPr>
            <w:tcW w:w="445" w:type="pct"/>
            <w:tcBorders>
              <w:top w:val="single" w:sz="4" w:space="0" w:color="auto"/>
              <w:left w:val="nil"/>
              <w:bottom w:val="single" w:sz="4" w:space="0" w:color="auto"/>
              <w:right w:val="single" w:sz="4" w:space="0" w:color="auto"/>
            </w:tcBorders>
            <w:vAlign w:val="center"/>
          </w:tcPr>
          <w:p w:rsidR="00EC2889" w:rsidRPr="006749EC" w:rsidRDefault="00EC2889" w:rsidP="00EC2889">
            <w:pPr>
              <w:spacing w:after="0" w:line="240" w:lineRule="auto"/>
              <w:jc w:val="center"/>
              <w:rPr>
                <w:rFonts w:asciiTheme="minorHAnsi" w:eastAsia="Times New Roman" w:hAnsiTheme="minorHAnsi"/>
                <w:b/>
                <w:bCs/>
                <w:color w:val="000000"/>
                <w:sz w:val="20"/>
                <w:szCs w:val="20"/>
                <w:lang w:eastAsia="pl-PL"/>
              </w:rPr>
            </w:pPr>
            <w:r w:rsidRPr="006749EC">
              <w:rPr>
                <w:rFonts w:asciiTheme="minorHAnsi" w:eastAsia="Times New Roman" w:hAnsiTheme="minorHAnsi"/>
                <w:b/>
                <w:bCs/>
                <w:color w:val="000000"/>
                <w:sz w:val="20"/>
                <w:szCs w:val="20"/>
                <w:lang w:eastAsia="pl-PL"/>
              </w:rPr>
              <w:t>2014</w:t>
            </w:r>
          </w:p>
        </w:tc>
        <w:tc>
          <w:tcPr>
            <w:tcW w:w="522" w:type="pct"/>
            <w:tcBorders>
              <w:top w:val="single" w:sz="4" w:space="0" w:color="auto"/>
              <w:left w:val="nil"/>
              <w:bottom w:val="single" w:sz="4" w:space="0" w:color="auto"/>
              <w:right w:val="single" w:sz="4" w:space="0" w:color="auto"/>
            </w:tcBorders>
            <w:vAlign w:val="center"/>
          </w:tcPr>
          <w:p w:rsidR="00EC2889" w:rsidRPr="006749EC" w:rsidRDefault="00EC2889" w:rsidP="00EC2889">
            <w:pPr>
              <w:spacing w:after="0" w:line="240" w:lineRule="auto"/>
              <w:jc w:val="center"/>
              <w:rPr>
                <w:rFonts w:asciiTheme="minorHAnsi" w:eastAsia="Times New Roman" w:hAnsiTheme="minorHAnsi"/>
                <w:b/>
                <w:bCs/>
                <w:color w:val="000000"/>
                <w:sz w:val="20"/>
                <w:szCs w:val="20"/>
                <w:lang w:eastAsia="pl-PL"/>
              </w:rPr>
            </w:pPr>
            <w:r w:rsidRPr="006749EC">
              <w:rPr>
                <w:rFonts w:asciiTheme="minorHAnsi" w:eastAsia="Times New Roman" w:hAnsiTheme="minorHAnsi"/>
                <w:b/>
                <w:bCs/>
                <w:color w:val="000000"/>
                <w:sz w:val="20"/>
                <w:szCs w:val="20"/>
                <w:lang w:eastAsia="pl-PL"/>
              </w:rPr>
              <w:t>udział %</w:t>
            </w:r>
          </w:p>
        </w:tc>
      </w:tr>
      <w:tr w:rsidR="00EC2889" w:rsidRPr="006749EC" w:rsidTr="00337628">
        <w:trPr>
          <w:trHeight w:val="425"/>
        </w:trPr>
        <w:tc>
          <w:tcPr>
            <w:tcW w:w="223" w:type="pct"/>
            <w:tcBorders>
              <w:top w:val="nil"/>
              <w:left w:val="single" w:sz="4" w:space="0" w:color="auto"/>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center"/>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1.</w:t>
            </w:r>
          </w:p>
        </w:tc>
        <w:tc>
          <w:tcPr>
            <w:tcW w:w="939"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Monitoring</w:t>
            </w:r>
          </w:p>
        </w:tc>
        <w:tc>
          <w:tcPr>
            <w:tcW w:w="456"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right"/>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906,2</w:t>
            </w:r>
          </w:p>
        </w:tc>
        <w:tc>
          <w:tcPr>
            <w:tcW w:w="475"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right"/>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39,58%</w:t>
            </w:r>
          </w:p>
        </w:tc>
        <w:tc>
          <w:tcPr>
            <w:tcW w:w="448"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right"/>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871,0</w:t>
            </w:r>
          </w:p>
        </w:tc>
        <w:tc>
          <w:tcPr>
            <w:tcW w:w="522"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right"/>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38,60%</w:t>
            </w:r>
          </w:p>
        </w:tc>
        <w:tc>
          <w:tcPr>
            <w:tcW w:w="448"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right"/>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857,0</w:t>
            </w:r>
          </w:p>
        </w:tc>
        <w:tc>
          <w:tcPr>
            <w:tcW w:w="522"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right"/>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40,85%</w:t>
            </w:r>
          </w:p>
        </w:tc>
        <w:tc>
          <w:tcPr>
            <w:tcW w:w="445" w:type="pct"/>
            <w:tcBorders>
              <w:top w:val="nil"/>
              <w:left w:val="nil"/>
              <w:bottom w:val="single" w:sz="4" w:space="0" w:color="auto"/>
              <w:right w:val="single" w:sz="4" w:space="0" w:color="auto"/>
            </w:tcBorders>
            <w:vAlign w:val="center"/>
          </w:tcPr>
          <w:p w:rsidR="00EC2889" w:rsidRPr="006749EC" w:rsidRDefault="00EC2889" w:rsidP="00EC2889">
            <w:pPr>
              <w:spacing w:after="0" w:line="240" w:lineRule="auto"/>
              <w:jc w:val="right"/>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 xml:space="preserve"> 883,00</w:t>
            </w:r>
          </w:p>
        </w:tc>
        <w:tc>
          <w:tcPr>
            <w:tcW w:w="522" w:type="pct"/>
            <w:tcBorders>
              <w:top w:val="nil"/>
              <w:left w:val="nil"/>
              <w:bottom w:val="single" w:sz="4" w:space="0" w:color="auto"/>
              <w:right w:val="single" w:sz="4" w:space="0" w:color="auto"/>
            </w:tcBorders>
            <w:vAlign w:val="center"/>
          </w:tcPr>
          <w:p w:rsidR="00EC2889" w:rsidRPr="006749EC" w:rsidRDefault="00EC2889" w:rsidP="00EC2889">
            <w:pPr>
              <w:spacing w:after="0" w:line="240" w:lineRule="auto"/>
              <w:jc w:val="right"/>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49,75%</w:t>
            </w:r>
          </w:p>
        </w:tc>
      </w:tr>
      <w:tr w:rsidR="00EC2889" w:rsidRPr="006749EC" w:rsidTr="00337628">
        <w:trPr>
          <w:trHeight w:val="425"/>
        </w:trPr>
        <w:tc>
          <w:tcPr>
            <w:tcW w:w="223" w:type="pct"/>
            <w:tcBorders>
              <w:top w:val="nil"/>
              <w:left w:val="single" w:sz="4" w:space="0" w:color="auto"/>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center"/>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2.</w:t>
            </w:r>
          </w:p>
        </w:tc>
        <w:tc>
          <w:tcPr>
            <w:tcW w:w="939"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Ochrona fizyczna</w:t>
            </w:r>
          </w:p>
        </w:tc>
        <w:tc>
          <w:tcPr>
            <w:tcW w:w="456"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right"/>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998,0</w:t>
            </w:r>
          </w:p>
        </w:tc>
        <w:tc>
          <w:tcPr>
            <w:tcW w:w="475"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right"/>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43,58%</w:t>
            </w:r>
          </w:p>
        </w:tc>
        <w:tc>
          <w:tcPr>
            <w:tcW w:w="448"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right"/>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1 039,8</w:t>
            </w:r>
          </w:p>
        </w:tc>
        <w:tc>
          <w:tcPr>
            <w:tcW w:w="522"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right"/>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46,08%</w:t>
            </w:r>
          </w:p>
        </w:tc>
        <w:tc>
          <w:tcPr>
            <w:tcW w:w="448"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right"/>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920,0</w:t>
            </w:r>
          </w:p>
        </w:tc>
        <w:tc>
          <w:tcPr>
            <w:tcW w:w="522"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right"/>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43,85%</w:t>
            </w:r>
          </w:p>
        </w:tc>
        <w:tc>
          <w:tcPr>
            <w:tcW w:w="445" w:type="pct"/>
            <w:tcBorders>
              <w:top w:val="nil"/>
              <w:left w:val="nil"/>
              <w:bottom w:val="single" w:sz="4" w:space="0" w:color="auto"/>
              <w:right w:val="single" w:sz="4" w:space="0" w:color="auto"/>
            </w:tcBorders>
            <w:vAlign w:val="center"/>
          </w:tcPr>
          <w:p w:rsidR="00EC2889" w:rsidRPr="006749EC" w:rsidRDefault="00EC2889" w:rsidP="00EC2889">
            <w:pPr>
              <w:spacing w:after="0" w:line="240" w:lineRule="auto"/>
              <w:jc w:val="right"/>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553,00</w:t>
            </w:r>
          </w:p>
        </w:tc>
        <w:tc>
          <w:tcPr>
            <w:tcW w:w="522" w:type="pct"/>
            <w:tcBorders>
              <w:top w:val="nil"/>
              <w:left w:val="nil"/>
              <w:bottom w:val="single" w:sz="4" w:space="0" w:color="auto"/>
              <w:right w:val="single" w:sz="4" w:space="0" w:color="auto"/>
            </w:tcBorders>
            <w:vAlign w:val="center"/>
          </w:tcPr>
          <w:p w:rsidR="00EC2889" w:rsidRPr="006749EC" w:rsidRDefault="00EC2889" w:rsidP="00EC2889">
            <w:pPr>
              <w:spacing w:after="0" w:line="240" w:lineRule="auto"/>
              <w:jc w:val="right"/>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31,15%</w:t>
            </w:r>
          </w:p>
        </w:tc>
      </w:tr>
      <w:tr w:rsidR="00EC2889" w:rsidRPr="006749EC" w:rsidTr="00337628">
        <w:trPr>
          <w:trHeight w:val="425"/>
        </w:trPr>
        <w:tc>
          <w:tcPr>
            <w:tcW w:w="223" w:type="pct"/>
            <w:tcBorders>
              <w:top w:val="nil"/>
              <w:left w:val="single" w:sz="4" w:space="0" w:color="auto"/>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center"/>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3.</w:t>
            </w:r>
          </w:p>
        </w:tc>
        <w:tc>
          <w:tcPr>
            <w:tcW w:w="939"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Konwoje wartości</w:t>
            </w:r>
          </w:p>
        </w:tc>
        <w:tc>
          <w:tcPr>
            <w:tcW w:w="456"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right"/>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377,8</w:t>
            </w:r>
          </w:p>
        </w:tc>
        <w:tc>
          <w:tcPr>
            <w:tcW w:w="475"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right"/>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16,50%</w:t>
            </w:r>
          </w:p>
        </w:tc>
        <w:tc>
          <w:tcPr>
            <w:tcW w:w="448"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right"/>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337,8</w:t>
            </w:r>
          </w:p>
        </w:tc>
        <w:tc>
          <w:tcPr>
            <w:tcW w:w="522"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right"/>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14,97%</w:t>
            </w:r>
          </w:p>
        </w:tc>
        <w:tc>
          <w:tcPr>
            <w:tcW w:w="448"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right"/>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313,0</w:t>
            </w:r>
          </w:p>
        </w:tc>
        <w:tc>
          <w:tcPr>
            <w:tcW w:w="522"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right"/>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14,92%</w:t>
            </w:r>
          </w:p>
        </w:tc>
        <w:tc>
          <w:tcPr>
            <w:tcW w:w="445" w:type="pct"/>
            <w:tcBorders>
              <w:top w:val="nil"/>
              <w:left w:val="nil"/>
              <w:bottom w:val="single" w:sz="4" w:space="0" w:color="auto"/>
              <w:right w:val="single" w:sz="4" w:space="0" w:color="auto"/>
            </w:tcBorders>
            <w:vAlign w:val="center"/>
          </w:tcPr>
          <w:p w:rsidR="00EC2889" w:rsidRPr="006749EC" w:rsidRDefault="00EC2889" w:rsidP="00EC2889">
            <w:pPr>
              <w:spacing w:after="0" w:line="240" w:lineRule="auto"/>
              <w:jc w:val="right"/>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323,00</w:t>
            </w:r>
          </w:p>
        </w:tc>
        <w:tc>
          <w:tcPr>
            <w:tcW w:w="522" w:type="pct"/>
            <w:tcBorders>
              <w:top w:val="nil"/>
              <w:left w:val="nil"/>
              <w:bottom w:val="single" w:sz="4" w:space="0" w:color="auto"/>
              <w:right w:val="single" w:sz="4" w:space="0" w:color="auto"/>
            </w:tcBorders>
            <w:vAlign w:val="center"/>
          </w:tcPr>
          <w:p w:rsidR="00EC2889" w:rsidRPr="006749EC" w:rsidRDefault="00EC2889" w:rsidP="00EC2889">
            <w:pPr>
              <w:spacing w:after="0" w:line="240" w:lineRule="auto"/>
              <w:jc w:val="right"/>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18,20%</w:t>
            </w:r>
          </w:p>
        </w:tc>
      </w:tr>
      <w:tr w:rsidR="00EC2889" w:rsidRPr="006749EC" w:rsidTr="00337628">
        <w:trPr>
          <w:trHeight w:val="425"/>
        </w:trPr>
        <w:tc>
          <w:tcPr>
            <w:tcW w:w="223" w:type="pct"/>
            <w:tcBorders>
              <w:top w:val="nil"/>
              <w:left w:val="single" w:sz="4" w:space="0" w:color="auto"/>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center"/>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4.</w:t>
            </w:r>
          </w:p>
        </w:tc>
        <w:tc>
          <w:tcPr>
            <w:tcW w:w="939"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Montaż systemów</w:t>
            </w:r>
          </w:p>
        </w:tc>
        <w:tc>
          <w:tcPr>
            <w:tcW w:w="456"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right"/>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7,8</w:t>
            </w:r>
          </w:p>
        </w:tc>
        <w:tc>
          <w:tcPr>
            <w:tcW w:w="475"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right"/>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0,34%</w:t>
            </w:r>
          </w:p>
        </w:tc>
        <w:tc>
          <w:tcPr>
            <w:tcW w:w="448"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right"/>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7,7</w:t>
            </w:r>
          </w:p>
        </w:tc>
        <w:tc>
          <w:tcPr>
            <w:tcW w:w="522"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right"/>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0,34%</w:t>
            </w:r>
          </w:p>
        </w:tc>
        <w:tc>
          <w:tcPr>
            <w:tcW w:w="448"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right"/>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8,0</w:t>
            </w:r>
          </w:p>
        </w:tc>
        <w:tc>
          <w:tcPr>
            <w:tcW w:w="522"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right"/>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0,38%</w:t>
            </w:r>
          </w:p>
        </w:tc>
        <w:tc>
          <w:tcPr>
            <w:tcW w:w="445" w:type="pct"/>
            <w:tcBorders>
              <w:top w:val="nil"/>
              <w:left w:val="nil"/>
              <w:bottom w:val="single" w:sz="4" w:space="0" w:color="auto"/>
              <w:right w:val="single" w:sz="4" w:space="0" w:color="auto"/>
            </w:tcBorders>
            <w:vAlign w:val="center"/>
          </w:tcPr>
          <w:p w:rsidR="00EC2889" w:rsidRPr="006749EC" w:rsidRDefault="00EC2889" w:rsidP="00EC2889">
            <w:pPr>
              <w:spacing w:after="0" w:line="240" w:lineRule="auto"/>
              <w:jc w:val="right"/>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16,00</w:t>
            </w:r>
          </w:p>
        </w:tc>
        <w:tc>
          <w:tcPr>
            <w:tcW w:w="522" w:type="pct"/>
            <w:tcBorders>
              <w:top w:val="nil"/>
              <w:left w:val="nil"/>
              <w:bottom w:val="single" w:sz="4" w:space="0" w:color="auto"/>
              <w:right w:val="single" w:sz="4" w:space="0" w:color="auto"/>
            </w:tcBorders>
            <w:vAlign w:val="center"/>
          </w:tcPr>
          <w:p w:rsidR="00EC2889" w:rsidRPr="006749EC" w:rsidRDefault="00EC2889" w:rsidP="00EC2889">
            <w:pPr>
              <w:spacing w:after="0" w:line="240" w:lineRule="auto"/>
              <w:jc w:val="right"/>
              <w:rPr>
                <w:rFonts w:asciiTheme="minorHAnsi" w:eastAsia="Times New Roman" w:hAnsiTheme="minorHAnsi"/>
                <w:color w:val="000000"/>
                <w:sz w:val="20"/>
                <w:szCs w:val="20"/>
                <w:lang w:eastAsia="pl-PL"/>
              </w:rPr>
            </w:pPr>
            <w:r w:rsidRPr="006749EC">
              <w:rPr>
                <w:rFonts w:asciiTheme="minorHAnsi" w:eastAsia="Times New Roman" w:hAnsiTheme="minorHAnsi"/>
                <w:color w:val="000000"/>
                <w:sz w:val="20"/>
                <w:szCs w:val="20"/>
                <w:lang w:eastAsia="pl-PL"/>
              </w:rPr>
              <w:t>0,90%</w:t>
            </w:r>
          </w:p>
        </w:tc>
      </w:tr>
      <w:tr w:rsidR="00EC2889" w:rsidRPr="006749EC" w:rsidTr="00337628">
        <w:trPr>
          <w:trHeight w:val="425"/>
        </w:trPr>
        <w:tc>
          <w:tcPr>
            <w:tcW w:w="116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center"/>
              <w:rPr>
                <w:rFonts w:asciiTheme="minorHAnsi" w:eastAsia="Times New Roman" w:hAnsiTheme="minorHAnsi"/>
                <w:b/>
                <w:bCs/>
                <w:color w:val="000000"/>
                <w:sz w:val="20"/>
                <w:szCs w:val="20"/>
                <w:lang w:eastAsia="pl-PL"/>
              </w:rPr>
            </w:pPr>
            <w:r w:rsidRPr="006749EC">
              <w:rPr>
                <w:rFonts w:asciiTheme="minorHAnsi" w:eastAsia="Times New Roman" w:hAnsiTheme="minorHAnsi"/>
                <w:b/>
                <w:bCs/>
                <w:color w:val="000000"/>
                <w:sz w:val="20"/>
                <w:szCs w:val="20"/>
                <w:lang w:eastAsia="pl-PL"/>
              </w:rPr>
              <w:t>RAZEM</w:t>
            </w:r>
          </w:p>
        </w:tc>
        <w:tc>
          <w:tcPr>
            <w:tcW w:w="456"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right"/>
              <w:rPr>
                <w:rFonts w:asciiTheme="minorHAnsi" w:eastAsia="Times New Roman" w:hAnsiTheme="minorHAnsi"/>
                <w:b/>
                <w:bCs/>
                <w:color w:val="000000"/>
                <w:sz w:val="20"/>
                <w:szCs w:val="20"/>
                <w:lang w:eastAsia="pl-PL"/>
              </w:rPr>
            </w:pPr>
            <w:r w:rsidRPr="006749EC">
              <w:rPr>
                <w:rFonts w:asciiTheme="minorHAnsi" w:eastAsia="Times New Roman" w:hAnsiTheme="minorHAnsi"/>
                <w:b/>
                <w:bCs/>
                <w:color w:val="000000"/>
                <w:sz w:val="20"/>
                <w:szCs w:val="20"/>
                <w:lang w:eastAsia="pl-PL"/>
              </w:rPr>
              <w:t>2 289,8</w:t>
            </w:r>
          </w:p>
        </w:tc>
        <w:tc>
          <w:tcPr>
            <w:tcW w:w="475"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right"/>
              <w:rPr>
                <w:rFonts w:asciiTheme="minorHAnsi" w:eastAsia="Times New Roman" w:hAnsiTheme="minorHAnsi"/>
                <w:b/>
                <w:bCs/>
                <w:color w:val="000000"/>
                <w:sz w:val="20"/>
                <w:szCs w:val="20"/>
                <w:lang w:eastAsia="pl-PL"/>
              </w:rPr>
            </w:pPr>
            <w:r w:rsidRPr="006749EC">
              <w:rPr>
                <w:rFonts w:asciiTheme="minorHAnsi" w:eastAsia="Times New Roman" w:hAnsiTheme="minorHAnsi"/>
                <w:b/>
                <w:bCs/>
                <w:color w:val="000000"/>
                <w:sz w:val="20"/>
                <w:szCs w:val="20"/>
                <w:lang w:eastAsia="pl-PL"/>
              </w:rPr>
              <w:t>100%</w:t>
            </w:r>
          </w:p>
        </w:tc>
        <w:tc>
          <w:tcPr>
            <w:tcW w:w="448"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right"/>
              <w:rPr>
                <w:rFonts w:asciiTheme="minorHAnsi" w:eastAsia="Times New Roman" w:hAnsiTheme="minorHAnsi"/>
                <w:b/>
                <w:bCs/>
                <w:color w:val="000000"/>
                <w:sz w:val="20"/>
                <w:szCs w:val="20"/>
                <w:lang w:eastAsia="pl-PL"/>
              </w:rPr>
            </w:pPr>
            <w:r w:rsidRPr="006749EC">
              <w:rPr>
                <w:rFonts w:asciiTheme="minorHAnsi" w:eastAsia="Times New Roman" w:hAnsiTheme="minorHAnsi"/>
                <w:b/>
                <w:bCs/>
                <w:color w:val="000000"/>
                <w:sz w:val="20"/>
                <w:szCs w:val="20"/>
                <w:lang w:eastAsia="pl-PL"/>
              </w:rPr>
              <w:t>2 256,3</w:t>
            </w:r>
          </w:p>
        </w:tc>
        <w:tc>
          <w:tcPr>
            <w:tcW w:w="522"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right"/>
              <w:rPr>
                <w:rFonts w:asciiTheme="minorHAnsi" w:eastAsia="Times New Roman" w:hAnsiTheme="minorHAnsi"/>
                <w:b/>
                <w:bCs/>
                <w:color w:val="000000"/>
                <w:sz w:val="20"/>
                <w:szCs w:val="20"/>
                <w:lang w:eastAsia="pl-PL"/>
              </w:rPr>
            </w:pPr>
            <w:r w:rsidRPr="006749EC">
              <w:rPr>
                <w:rFonts w:asciiTheme="minorHAnsi" w:eastAsia="Times New Roman" w:hAnsiTheme="minorHAnsi"/>
                <w:b/>
                <w:bCs/>
                <w:color w:val="000000"/>
                <w:sz w:val="20"/>
                <w:szCs w:val="20"/>
                <w:lang w:eastAsia="pl-PL"/>
              </w:rPr>
              <w:t>100%</w:t>
            </w:r>
          </w:p>
        </w:tc>
        <w:tc>
          <w:tcPr>
            <w:tcW w:w="448"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right"/>
              <w:rPr>
                <w:rFonts w:asciiTheme="minorHAnsi" w:eastAsia="Times New Roman" w:hAnsiTheme="minorHAnsi"/>
                <w:b/>
                <w:bCs/>
                <w:color w:val="000000"/>
                <w:sz w:val="20"/>
                <w:szCs w:val="20"/>
                <w:lang w:eastAsia="pl-PL"/>
              </w:rPr>
            </w:pPr>
            <w:r w:rsidRPr="006749EC">
              <w:rPr>
                <w:rFonts w:asciiTheme="minorHAnsi" w:eastAsia="Times New Roman" w:hAnsiTheme="minorHAnsi"/>
                <w:b/>
                <w:bCs/>
                <w:color w:val="000000"/>
                <w:sz w:val="20"/>
                <w:szCs w:val="20"/>
                <w:lang w:eastAsia="pl-PL"/>
              </w:rPr>
              <w:t>2 098,0</w:t>
            </w:r>
          </w:p>
        </w:tc>
        <w:tc>
          <w:tcPr>
            <w:tcW w:w="522" w:type="pct"/>
            <w:tcBorders>
              <w:top w:val="nil"/>
              <w:left w:val="nil"/>
              <w:bottom w:val="single" w:sz="4" w:space="0" w:color="auto"/>
              <w:right w:val="single" w:sz="4" w:space="0" w:color="auto"/>
            </w:tcBorders>
            <w:shd w:val="clear" w:color="auto" w:fill="auto"/>
            <w:noWrap/>
            <w:vAlign w:val="center"/>
            <w:hideMark/>
          </w:tcPr>
          <w:p w:rsidR="00EC2889" w:rsidRPr="006749EC" w:rsidRDefault="00EC2889" w:rsidP="00EC2889">
            <w:pPr>
              <w:spacing w:after="0" w:line="240" w:lineRule="auto"/>
              <w:jc w:val="right"/>
              <w:rPr>
                <w:rFonts w:asciiTheme="minorHAnsi" w:eastAsia="Times New Roman" w:hAnsiTheme="minorHAnsi"/>
                <w:b/>
                <w:bCs/>
                <w:color w:val="000000"/>
                <w:sz w:val="20"/>
                <w:szCs w:val="20"/>
                <w:lang w:eastAsia="pl-PL"/>
              </w:rPr>
            </w:pPr>
            <w:r w:rsidRPr="006749EC">
              <w:rPr>
                <w:rFonts w:asciiTheme="minorHAnsi" w:eastAsia="Times New Roman" w:hAnsiTheme="minorHAnsi"/>
                <w:b/>
                <w:bCs/>
                <w:color w:val="000000"/>
                <w:sz w:val="20"/>
                <w:szCs w:val="20"/>
                <w:lang w:eastAsia="pl-PL"/>
              </w:rPr>
              <w:t>100%</w:t>
            </w:r>
          </w:p>
        </w:tc>
        <w:tc>
          <w:tcPr>
            <w:tcW w:w="445" w:type="pct"/>
            <w:tcBorders>
              <w:top w:val="nil"/>
              <w:left w:val="nil"/>
              <w:bottom w:val="single" w:sz="4" w:space="0" w:color="auto"/>
              <w:right w:val="single" w:sz="4" w:space="0" w:color="auto"/>
            </w:tcBorders>
            <w:vAlign w:val="center"/>
          </w:tcPr>
          <w:p w:rsidR="00EC2889" w:rsidRPr="006749EC" w:rsidRDefault="00EC2889" w:rsidP="00EC2889">
            <w:pPr>
              <w:spacing w:after="0" w:line="240" w:lineRule="auto"/>
              <w:jc w:val="right"/>
              <w:rPr>
                <w:rFonts w:asciiTheme="minorHAnsi" w:eastAsia="Times New Roman" w:hAnsiTheme="minorHAnsi"/>
                <w:b/>
                <w:bCs/>
                <w:color w:val="000000"/>
                <w:sz w:val="20"/>
                <w:szCs w:val="20"/>
                <w:lang w:eastAsia="pl-PL"/>
              </w:rPr>
            </w:pPr>
            <w:r w:rsidRPr="006749EC">
              <w:rPr>
                <w:rFonts w:asciiTheme="minorHAnsi" w:eastAsia="Times New Roman" w:hAnsiTheme="minorHAnsi"/>
                <w:b/>
                <w:bCs/>
                <w:color w:val="000000"/>
                <w:sz w:val="20"/>
                <w:szCs w:val="20"/>
                <w:lang w:eastAsia="pl-PL"/>
              </w:rPr>
              <w:t>1775,0</w:t>
            </w:r>
          </w:p>
        </w:tc>
        <w:tc>
          <w:tcPr>
            <w:tcW w:w="522" w:type="pct"/>
            <w:tcBorders>
              <w:top w:val="nil"/>
              <w:left w:val="nil"/>
              <w:bottom w:val="single" w:sz="4" w:space="0" w:color="auto"/>
              <w:right w:val="single" w:sz="4" w:space="0" w:color="auto"/>
            </w:tcBorders>
            <w:vAlign w:val="center"/>
          </w:tcPr>
          <w:p w:rsidR="00EC2889" w:rsidRPr="006749EC" w:rsidRDefault="00EC2889" w:rsidP="00EC2889">
            <w:pPr>
              <w:spacing w:after="0" w:line="240" w:lineRule="auto"/>
              <w:jc w:val="right"/>
              <w:rPr>
                <w:rFonts w:asciiTheme="minorHAnsi" w:eastAsia="Times New Roman" w:hAnsiTheme="minorHAnsi"/>
                <w:b/>
                <w:bCs/>
                <w:color w:val="000000"/>
                <w:sz w:val="20"/>
                <w:szCs w:val="20"/>
                <w:lang w:eastAsia="pl-PL"/>
              </w:rPr>
            </w:pPr>
            <w:r w:rsidRPr="006749EC">
              <w:rPr>
                <w:rFonts w:asciiTheme="minorHAnsi" w:eastAsia="Times New Roman" w:hAnsiTheme="minorHAnsi"/>
                <w:b/>
                <w:bCs/>
                <w:color w:val="000000"/>
                <w:sz w:val="20"/>
                <w:szCs w:val="20"/>
                <w:lang w:eastAsia="pl-PL"/>
              </w:rPr>
              <w:t>100%</w:t>
            </w:r>
          </w:p>
        </w:tc>
      </w:tr>
    </w:tbl>
    <w:p w:rsidR="00EC2889" w:rsidRPr="00EC2889" w:rsidRDefault="00EC2889" w:rsidP="00EC2889">
      <w:pPr>
        <w:spacing w:after="0" w:line="240" w:lineRule="auto"/>
        <w:jc w:val="both"/>
        <w:rPr>
          <w:rFonts w:asciiTheme="minorHAnsi" w:hAnsiTheme="minorHAnsi"/>
          <w:sz w:val="16"/>
          <w:szCs w:val="24"/>
        </w:rPr>
      </w:pPr>
    </w:p>
    <w:p w:rsidR="00EC2889" w:rsidRPr="00EC2889" w:rsidRDefault="00EC2889" w:rsidP="00EC2889">
      <w:pPr>
        <w:spacing w:after="0" w:line="240" w:lineRule="auto"/>
        <w:jc w:val="both"/>
        <w:rPr>
          <w:rFonts w:asciiTheme="minorHAnsi" w:hAnsiTheme="minorHAnsi"/>
          <w:sz w:val="24"/>
          <w:szCs w:val="24"/>
        </w:rPr>
      </w:pPr>
      <w:r w:rsidRPr="00EC2889">
        <w:rPr>
          <w:rFonts w:asciiTheme="minorHAnsi" w:hAnsiTheme="minorHAnsi"/>
          <w:sz w:val="24"/>
          <w:szCs w:val="24"/>
        </w:rPr>
        <w:t>Przyczyn</w:t>
      </w:r>
      <w:r w:rsidR="0030120D">
        <w:rPr>
          <w:rFonts w:asciiTheme="minorHAnsi" w:hAnsiTheme="minorHAnsi"/>
          <w:sz w:val="24"/>
          <w:szCs w:val="24"/>
        </w:rPr>
        <w:t>ą</w:t>
      </w:r>
      <w:r w:rsidRPr="00EC2889">
        <w:rPr>
          <w:rFonts w:asciiTheme="minorHAnsi" w:hAnsiTheme="minorHAnsi"/>
          <w:sz w:val="24"/>
          <w:szCs w:val="24"/>
        </w:rPr>
        <w:t xml:space="preserve"> tak drastycznego spadku przychodów z ochrony fizycznej była </w:t>
      </w:r>
      <w:r w:rsidR="0030120D">
        <w:rPr>
          <w:rFonts w:asciiTheme="minorHAnsi" w:hAnsiTheme="minorHAnsi"/>
          <w:sz w:val="24"/>
          <w:szCs w:val="24"/>
        </w:rPr>
        <w:t xml:space="preserve">w </w:t>
      </w:r>
      <w:r w:rsidRPr="00EC2889">
        <w:rPr>
          <w:rFonts w:asciiTheme="minorHAnsi" w:hAnsiTheme="minorHAnsi"/>
          <w:sz w:val="24"/>
          <w:szCs w:val="24"/>
        </w:rPr>
        <w:t xml:space="preserve">głównej mierze utrata kilku kluczowych klientów Spółki: Feber Sp. z o.o., MPWiK Sp. z o.o., Extent Polska, PSB Mrówka Sieradz Sp. z o.o. Klienci ci zlikwidowali działalność, zrezygnowali z usług ochrony fizycznej albo zostali przejęci przez firmy konkurencyjne. Ich udział w przychodach </w:t>
      </w:r>
      <w:r w:rsidRPr="00EC2889">
        <w:rPr>
          <w:rFonts w:asciiTheme="minorHAnsi" w:hAnsiTheme="minorHAnsi"/>
          <w:sz w:val="24"/>
          <w:szCs w:val="24"/>
        </w:rPr>
        <w:lastRenderedPageBreak/>
        <w:t>ZOM był tak duży, że nie była w stanie zrekompensować go nawet zwiększona liczba umów na ochronę fizyczn</w:t>
      </w:r>
      <w:r w:rsidR="0030120D">
        <w:rPr>
          <w:rFonts w:asciiTheme="minorHAnsi" w:hAnsiTheme="minorHAnsi"/>
          <w:sz w:val="24"/>
          <w:szCs w:val="24"/>
        </w:rPr>
        <w:t>ą</w:t>
      </w:r>
      <w:r w:rsidRPr="00EC2889">
        <w:rPr>
          <w:rFonts w:asciiTheme="minorHAnsi" w:hAnsiTheme="minorHAnsi"/>
          <w:sz w:val="24"/>
          <w:szCs w:val="24"/>
        </w:rPr>
        <w:t xml:space="preserve"> zawartych w 2014 r.</w:t>
      </w:r>
    </w:p>
    <w:p w:rsidR="00EC2889" w:rsidRPr="008765EC" w:rsidRDefault="00EC2889" w:rsidP="00EC2889">
      <w:pPr>
        <w:spacing w:after="0" w:line="240" w:lineRule="auto"/>
        <w:rPr>
          <w:rFonts w:asciiTheme="minorHAnsi" w:hAnsiTheme="minorHAnsi"/>
          <w:b/>
          <w:sz w:val="16"/>
          <w:szCs w:val="24"/>
        </w:rPr>
      </w:pPr>
    </w:p>
    <w:p w:rsidR="00EC2889" w:rsidRPr="00EC2889" w:rsidRDefault="00EC2889" w:rsidP="00EC2889">
      <w:pPr>
        <w:spacing w:after="0" w:line="240" w:lineRule="auto"/>
        <w:rPr>
          <w:rFonts w:asciiTheme="minorHAnsi" w:hAnsiTheme="minorHAnsi"/>
          <w:b/>
          <w:sz w:val="24"/>
          <w:szCs w:val="24"/>
        </w:rPr>
      </w:pPr>
      <w:r w:rsidRPr="00EC2889">
        <w:rPr>
          <w:rFonts w:asciiTheme="minorHAnsi" w:hAnsiTheme="minorHAnsi"/>
          <w:b/>
          <w:sz w:val="24"/>
          <w:szCs w:val="24"/>
        </w:rPr>
        <w:t>Inwestycje</w:t>
      </w:r>
    </w:p>
    <w:p w:rsidR="00EC2889" w:rsidRPr="00EC2889" w:rsidRDefault="00EC2889" w:rsidP="00EC2889">
      <w:pPr>
        <w:spacing w:after="0" w:line="240" w:lineRule="auto"/>
        <w:jc w:val="both"/>
        <w:rPr>
          <w:rFonts w:asciiTheme="minorHAnsi" w:hAnsiTheme="minorHAnsi"/>
          <w:sz w:val="14"/>
          <w:szCs w:val="24"/>
        </w:rPr>
      </w:pPr>
      <w:r w:rsidRPr="00EC2889">
        <w:rPr>
          <w:rFonts w:asciiTheme="minorHAnsi" w:hAnsiTheme="minorHAnsi"/>
          <w:sz w:val="24"/>
          <w:szCs w:val="24"/>
        </w:rPr>
        <w:t>Jedyną formą działalności inwestycyjnej i remontowej Spółki w 2014 r. było wzięcie w leasing samochodu Fiat Sedici.</w:t>
      </w:r>
      <w:r w:rsidRPr="00EC2889">
        <w:rPr>
          <w:rFonts w:asciiTheme="minorHAnsi" w:hAnsiTheme="minorHAnsi"/>
          <w:sz w:val="14"/>
          <w:szCs w:val="24"/>
        </w:rPr>
        <w:t xml:space="preserve"> </w:t>
      </w:r>
    </w:p>
    <w:p w:rsidR="00EC2889" w:rsidRPr="00EC2889" w:rsidRDefault="00EC2889" w:rsidP="00EC2889">
      <w:pPr>
        <w:spacing w:after="0" w:line="240" w:lineRule="auto"/>
        <w:jc w:val="both"/>
        <w:rPr>
          <w:rFonts w:asciiTheme="minorHAnsi" w:hAnsiTheme="minorHAnsi"/>
          <w:sz w:val="18"/>
          <w:szCs w:val="24"/>
        </w:rPr>
      </w:pPr>
    </w:p>
    <w:p w:rsidR="00EC2889" w:rsidRPr="00EC2889" w:rsidRDefault="00EC2889" w:rsidP="00EC2889">
      <w:pPr>
        <w:spacing w:after="0" w:line="240" w:lineRule="auto"/>
        <w:jc w:val="both"/>
        <w:rPr>
          <w:rFonts w:asciiTheme="minorHAnsi" w:hAnsiTheme="minorHAnsi"/>
          <w:b/>
          <w:sz w:val="24"/>
          <w:szCs w:val="24"/>
        </w:rPr>
      </w:pPr>
      <w:r w:rsidRPr="00EC2889">
        <w:rPr>
          <w:rFonts w:asciiTheme="minorHAnsi" w:hAnsiTheme="minorHAnsi"/>
          <w:b/>
          <w:sz w:val="24"/>
          <w:szCs w:val="24"/>
        </w:rPr>
        <w:t>Zatrudnienie</w:t>
      </w:r>
    </w:p>
    <w:p w:rsidR="00EC2889" w:rsidRPr="00EC2889" w:rsidRDefault="00EC2889" w:rsidP="00EC2889">
      <w:pPr>
        <w:spacing w:after="0" w:line="240" w:lineRule="auto"/>
        <w:jc w:val="both"/>
        <w:rPr>
          <w:rFonts w:asciiTheme="minorHAnsi" w:hAnsiTheme="minorHAnsi"/>
          <w:sz w:val="24"/>
          <w:szCs w:val="24"/>
        </w:rPr>
      </w:pPr>
      <w:r w:rsidRPr="00EC2889">
        <w:rPr>
          <w:rFonts w:asciiTheme="minorHAnsi" w:hAnsiTheme="minorHAnsi"/>
          <w:sz w:val="24"/>
          <w:szCs w:val="24"/>
        </w:rPr>
        <w:t>Na koniec 2014 r. zatrudnionych w Spółce było 35 osób – w porównaniu z 47 osobami w</w:t>
      </w:r>
      <w:r w:rsidR="006A206F">
        <w:rPr>
          <w:rFonts w:asciiTheme="minorHAnsi" w:hAnsiTheme="minorHAnsi"/>
          <w:sz w:val="24"/>
          <w:szCs w:val="24"/>
        </w:rPr>
        <w:t> </w:t>
      </w:r>
      <w:r w:rsidRPr="00EC2889">
        <w:rPr>
          <w:rFonts w:asciiTheme="minorHAnsi" w:hAnsiTheme="minorHAnsi"/>
          <w:sz w:val="24"/>
          <w:szCs w:val="24"/>
        </w:rPr>
        <w:t xml:space="preserve">roku 2013. Przeciętne wynagrodzenie wyniosło w minionym roku 1910,17 zł – w roku poprzednim było to 1732,50 zł. Wynagrodzenie Zarządu Spółki wyniosło w 2014 roku 104 300 zł – w 2013 było to 92 600 zł, natomiast wynagrodzenie członków Rady Nadzorczej to koszt 33 200 zł – w roku poprzednim 33 810 zł. </w:t>
      </w:r>
    </w:p>
    <w:p w:rsidR="00EC2889" w:rsidRPr="00EC2889" w:rsidRDefault="00EC2889" w:rsidP="00EC2889">
      <w:pPr>
        <w:spacing w:after="0" w:line="240" w:lineRule="auto"/>
        <w:jc w:val="both"/>
        <w:rPr>
          <w:rFonts w:asciiTheme="minorHAnsi" w:hAnsiTheme="minorHAnsi"/>
          <w:sz w:val="24"/>
        </w:rPr>
      </w:pPr>
      <w:r w:rsidRPr="00EC2889">
        <w:rPr>
          <w:rFonts w:asciiTheme="minorHAnsi" w:hAnsiTheme="minorHAnsi"/>
          <w:b/>
          <w:sz w:val="24"/>
        </w:rPr>
        <w:t>Przychody</w:t>
      </w:r>
      <w:r w:rsidRPr="00EC2889">
        <w:rPr>
          <w:rFonts w:asciiTheme="minorHAnsi" w:hAnsiTheme="minorHAnsi"/>
          <w:sz w:val="24"/>
        </w:rPr>
        <w:t xml:space="preserve"> </w:t>
      </w:r>
    </w:p>
    <w:p w:rsidR="00EC2889" w:rsidRPr="00EC2889" w:rsidRDefault="00EC2889" w:rsidP="00EC2889">
      <w:pPr>
        <w:spacing w:after="0" w:line="240" w:lineRule="auto"/>
        <w:jc w:val="both"/>
        <w:rPr>
          <w:rFonts w:asciiTheme="minorHAnsi" w:hAnsiTheme="minorHAnsi"/>
          <w:sz w:val="10"/>
          <w:szCs w:val="10"/>
        </w:rPr>
      </w:pPr>
    </w:p>
    <w:p w:rsidR="00EC2889" w:rsidRPr="00EC2889" w:rsidRDefault="00EC2889" w:rsidP="00EC2889">
      <w:pPr>
        <w:spacing w:after="0" w:line="240" w:lineRule="auto"/>
        <w:jc w:val="both"/>
        <w:rPr>
          <w:rFonts w:asciiTheme="minorHAnsi" w:hAnsiTheme="minorHAnsi"/>
          <w:sz w:val="24"/>
        </w:rPr>
      </w:pPr>
      <w:r w:rsidRPr="00EC2889">
        <w:rPr>
          <w:rFonts w:asciiTheme="minorHAnsi" w:hAnsiTheme="minorHAnsi"/>
          <w:sz w:val="24"/>
        </w:rPr>
        <w:t>W roku 2014 nastąpił spadek łącznych przychodów spółki o 15,75%. Złożyły się na niego: spadek przychodów ze sprzedaży o 15,39% oraz spadek w pozycji pozostałe przychody operacyjne, który wyniósł 23,48%. Przyczyną drastycznego zmniejszeni</w:t>
      </w:r>
      <w:r w:rsidR="0030120D">
        <w:rPr>
          <w:rFonts w:asciiTheme="minorHAnsi" w:hAnsiTheme="minorHAnsi"/>
          <w:sz w:val="24"/>
        </w:rPr>
        <w:t>a</w:t>
      </w:r>
      <w:r w:rsidRPr="00EC2889">
        <w:rPr>
          <w:rFonts w:asciiTheme="minorHAnsi" w:hAnsiTheme="minorHAnsi"/>
          <w:sz w:val="24"/>
        </w:rPr>
        <w:t xml:space="preserve"> przychodów w tej kategorii jest mniejsza ilość środków otrzymywanych z tytułu refundacji kosztów zatrudniania osób niepełnosprawnych. Przychody finansowe Spółki tworzą odsetki bankowe.</w:t>
      </w:r>
    </w:p>
    <w:p w:rsidR="00EC2889" w:rsidRPr="00EC2889" w:rsidRDefault="00EC2889" w:rsidP="00EC2889">
      <w:pPr>
        <w:spacing w:after="0" w:line="240" w:lineRule="auto"/>
        <w:rPr>
          <w:rFonts w:asciiTheme="minorHAnsi" w:hAnsiTheme="minorHAnsi"/>
          <w:sz w:val="20"/>
        </w:rPr>
      </w:pPr>
    </w:p>
    <w:tbl>
      <w:tblPr>
        <w:tblW w:w="4964" w:type="pct"/>
        <w:tblInd w:w="70" w:type="dxa"/>
        <w:tblCellMar>
          <w:left w:w="70" w:type="dxa"/>
          <w:right w:w="70" w:type="dxa"/>
        </w:tblCellMar>
        <w:tblLook w:val="04A0" w:firstRow="1" w:lastRow="0" w:firstColumn="1" w:lastColumn="0" w:noHBand="0" w:noVBand="1"/>
      </w:tblPr>
      <w:tblGrid>
        <w:gridCol w:w="3818"/>
        <w:gridCol w:w="1332"/>
        <w:gridCol w:w="1332"/>
        <w:gridCol w:w="1332"/>
        <w:gridCol w:w="1332"/>
      </w:tblGrid>
      <w:tr w:rsidR="00EC2889" w:rsidRPr="00EC2889" w:rsidTr="00644E9A">
        <w:trPr>
          <w:trHeight w:val="330"/>
        </w:trPr>
        <w:tc>
          <w:tcPr>
            <w:tcW w:w="2087" w:type="pct"/>
            <w:tcBorders>
              <w:top w:val="single" w:sz="4" w:space="0" w:color="auto"/>
              <w:left w:val="single" w:sz="4" w:space="0" w:color="auto"/>
              <w:bottom w:val="nil"/>
              <w:right w:val="single" w:sz="4" w:space="0" w:color="auto"/>
            </w:tcBorders>
            <w:shd w:val="clear" w:color="000000" w:fill="C0C0C0"/>
            <w:noWrap/>
            <w:vAlign w:val="center"/>
            <w:hideMark/>
          </w:tcPr>
          <w:p w:rsidR="00EC2889" w:rsidRPr="00EC2889" w:rsidRDefault="00EC2889" w:rsidP="00644E9A">
            <w:pPr>
              <w:spacing w:after="0" w:line="240" w:lineRule="auto"/>
              <w:jc w:val="center"/>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Treść</w:t>
            </w:r>
          </w:p>
        </w:tc>
        <w:tc>
          <w:tcPr>
            <w:tcW w:w="728" w:type="pct"/>
            <w:tcBorders>
              <w:top w:val="single" w:sz="4" w:space="0" w:color="auto"/>
              <w:left w:val="nil"/>
              <w:bottom w:val="single" w:sz="4" w:space="0" w:color="auto"/>
              <w:right w:val="single" w:sz="4" w:space="0" w:color="auto"/>
            </w:tcBorders>
            <w:shd w:val="clear" w:color="000000" w:fill="C0C0C0"/>
            <w:noWrap/>
            <w:vAlign w:val="center"/>
            <w:hideMark/>
          </w:tcPr>
          <w:p w:rsidR="00EC2889" w:rsidRPr="00EC2889" w:rsidRDefault="00EC2889" w:rsidP="00644E9A">
            <w:pPr>
              <w:spacing w:after="0" w:line="240" w:lineRule="auto"/>
              <w:jc w:val="center"/>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2011</w:t>
            </w:r>
          </w:p>
        </w:tc>
        <w:tc>
          <w:tcPr>
            <w:tcW w:w="728" w:type="pct"/>
            <w:tcBorders>
              <w:top w:val="single" w:sz="4" w:space="0" w:color="auto"/>
              <w:left w:val="nil"/>
              <w:bottom w:val="single" w:sz="4" w:space="0" w:color="auto"/>
              <w:right w:val="single" w:sz="4" w:space="0" w:color="auto"/>
            </w:tcBorders>
            <w:shd w:val="clear" w:color="000000" w:fill="C0C0C0"/>
            <w:noWrap/>
            <w:vAlign w:val="center"/>
            <w:hideMark/>
          </w:tcPr>
          <w:p w:rsidR="00EC2889" w:rsidRPr="00EC2889" w:rsidRDefault="00EC2889" w:rsidP="00644E9A">
            <w:pPr>
              <w:spacing w:after="0" w:line="240" w:lineRule="auto"/>
              <w:jc w:val="center"/>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2012</w:t>
            </w:r>
          </w:p>
        </w:tc>
        <w:tc>
          <w:tcPr>
            <w:tcW w:w="728" w:type="pct"/>
            <w:tcBorders>
              <w:top w:val="single" w:sz="4" w:space="0" w:color="auto"/>
              <w:left w:val="nil"/>
              <w:bottom w:val="single" w:sz="4" w:space="0" w:color="auto"/>
              <w:right w:val="single" w:sz="4" w:space="0" w:color="auto"/>
            </w:tcBorders>
            <w:shd w:val="clear" w:color="000000" w:fill="C0C0C0"/>
            <w:noWrap/>
            <w:vAlign w:val="center"/>
            <w:hideMark/>
          </w:tcPr>
          <w:p w:rsidR="00EC2889" w:rsidRPr="00EC2889" w:rsidRDefault="00EC2889" w:rsidP="00644E9A">
            <w:pPr>
              <w:spacing w:after="0" w:line="240" w:lineRule="auto"/>
              <w:jc w:val="center"/>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2013</w:t>
            </w:r>
          </w:p>
        </w:tc>
        <w:tc>
          <w:tcPr>
            <w:tcW w:w="728" w:type="pct"/>
            <w:tcBorders>
              <w:top w:val="single" w:sz="4" w:space="0" w:color="auto"/>
              <w:left w:val="nil"/>
              <w:bottom w:val="single" w:sz="4" w:space="0" w:color="auto"/>
              <w:right w:val="single" w:sz="4" w:space="0" w:color="auto"/>
            </w:tcBorders>
            <w:shd w:val="clear" w:color="000000" w:fill="C0C0C0"/>
            <w:noWrap/>
            <w:vAlign w:val="center"/>
            <w:hideMark/>
          </w:tcPr>
          <w:p w:rsidR="00EC2889" w:rsidRPr="00EC2889" w:rsidRDefault="00EC2889" w:rsidP="00644E9A">
            <w:pPr>
              <w:spacing w:after="0" w:line="240" w:lineRule="auto"/>
              <w:jc w:val="center"/>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2014</w:t>
            </w:r>
          </w:p>
        </w:tc>
      </w:tr>
      <w:tr w:rsidR="00EC2889" w:rsidRPr="00EC2889" w:rsidTr="00967029">
        <w:trPr>
          <w:trHeight w:val="330"/>
        </w:trPr>
        <w:tc>
          <w:tcPr>
            <w:tcW w:w="208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 xml:space="preserve">PRZYCHODY ZE SPRZEDAŻY </w:t>
            </w:r>
          </w:p>
        </w:tc>
        <w:tc>
          <w:tcPr>
            <w:tcW w:w="728"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2 290 030,09</w:t>
            </w:r>
          </w:p>
        </w:tc>
        <w:tc>
          <w:tcPr>
            <w:tcW w:w="728"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2 256 348,48</w:t>
            </w:r>
          </w:p>
        </w:tc>
        <w:tc>
          <w:tcPr>
            <w:tcW w:w="728"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2 098 630,32</w:t>
            </w:r>
          </w:p>
        </w:tc>
        <w:tc>
          <w:tcPr>
            <w:tcW w:w="728"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1 775 713,52</w:t>
            </w:r>
          </w:p>
        </w:tc>
      </w:tr>
      <w:tr w:rsidR="00EC2889" w:rsidRPr="00EC2889" w:rsidTr="00967029">
        <w:trPr>
          <w:trHeight w:val="330"/>
        </w:trPr>
        <w:tc>
          <w:tcPr>
            <w:tcW w:w="2087" w:type="pct"/>
            <w:tcBorders>
              <w:top w:val="nil"/>
              <w:left w:val="single" w:sz="4" w:space="0" w:color="auto"/>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POZOSTAŁE PRZYCHODY OPERACYJNE</w:t>
            </w:r>
          </w:p>
        </w:tc>
        <w:tc>
          <w:tcPr>
            <w:tcW w:w="728"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114 178,91</w:t>
            </w:r>
          </w:p>
        </w:tc>
        <w:tc>
          <w:tcPr>
            <w:tcW w:w="728"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126 065,63</w:t>
            </w:r>
          </w:p>
        </w:tc>
        <w:tc>
          <w:tcPr>
            <w:tcW w:w="728"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99 713,96</w:t>
            </w:r>
          </w:p>
        </w:tc>
        <w:tc>
          <w:tcPr>
            <w:tcW w:w="728"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76 300,12</w:t>
            </w:r>
          </w:p>
        </w:tc>
      </w:tr>
      <w:tr w:rsidR="00EC2889" w:rsidRPr="00EC2889" w:rsidTr="00967029">
        <w:trPr>
          <w:trHeight w:val="330"/>
        </w:trPr>
        <w:tc>
          <w:tcPr>
            <w:tcW w:w="2087" w:type="pct"/>
            <w:tcBorders>
              <w:top w:val="nil"/>
              <w:left w:val="single" w:sz="4" w:space="0" w:color="auto"/>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PRZYCHODY FINANSOWE</w:t>
            </w:r>
          </w:p>
        </w:tc>
        <w:tc>
          <w:tcPr>
            <w:tcW w:w="728"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6 958,14</w:t>
            </w:r>
          </w:p>
        </w:tc>
        <w:tc>
          <w:tcPr>
            <w:tcW w:w="728"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7 142,69</w:t>
            </w:r>
          </w:p>
        </w:tc>
        <w:tc>
          <w:tcPr>
            <w:tcW w:w="728"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3 870,24</w:t>
            </w:r>
          </w:p>
        </w:tc>
        <w:tc>
          <w:tcPr>
            <w:tcW w:w="728"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3 285,27</w:t>
            </w:r>
          </w:p>
        </w:tc>
      </w:tr>
    </w:tbl>
    <w:p w:rsidR="00EC2889" w:rsidRPr="00EC2889" w:rsidRDefault="00EC2889" w:rsidP="00EC2889">
      <w:pPr>
        <w:spacing w:after="0" w:line="240" w:lineRule="auto"/>
        <w:rPr>
          <w:rFonts w:asciiTheme="minorHAnsi" w:hAnsiTheme="minorHAnsi"/>
          <w:sz w:val="20"/>
        </w:rPr>
      </w:pPr>
    </w:p>
    <w:p w:rsidR="00EC2889" w:rsidRPr="00EC2889" w:rsidRDefault="00EC2889" w:rsidP="00EC2889">
      <w:pPr>
        <w:spacing w:after="0" w:line="240" w:lineRule="auto"/>
        <w:jc w:val="both"/>
        <w:rPr>
          <w:rFonts w:asciiTheme="minorHAnsi" w:hAnsiTheme="minorHAnsi"/>
          <w:b/>
          <w:sz w:val="24"/>
          <w:szCs w:val="24"/>
        </w:rPr>
      </w:pPr>
      <w:r w:rsidRPr="00EC2889">
        <w:rPr>
          <w:rFonts w:asciiTheme="minorHAnsi" w:hAnsiTheme="minorHAnsi"/>
          <w:b/>
          <w:sz w:val="24"/>
          <w:szCs w:val="24"/>
        </w:rPr>
        <w:t>Koszty</w:t>
      </w:r>
    </w:p>
    <w:p w:rsidR="00EC2889" w:rsidRPr="00EC2889" w:rsidRDefault="00EC2889" w:rsidP="00EC2889">
      <w:pPr>
        <w:spacing w:after="0" w:line="240" w:lineRule="auto"/>
        <w:jc w:val="both"/>
        <w:rPr>
          <w:rFonts w:asciiTheme="minorHAnsi" w:hAnsiTheme="minorHAnsi"/>
          <w:b/>
          <w:sz w:val="10"/>
          <w:szCs w:val="10"/>
        </w:rPr>
      </w:pPr>
    </w:p>
    <w:p w:rsidR="00EC2889" w:rsidRPr="00EC2889" w:rsidRDefault="00EC2889" w:rsidP="00EC2889">
      <w:pPr>
        <w:spacing w:after="0" w:line="240" w:lineRule="auto"/>
        <w:jc w:val="both"/>
        <w:rPr>
          <w:rFonts w:asciiTheme="minorHAnsi" w:hAnsiTheme="minorHAnsi"/>
          <w:sz w:val="24"/>
          <w:szCs w:val="24"/>
        </w:rPr>
      </w:pPr>
      <w:r w:rsidRPr="00EC2889">
        <w:rPr>
          <w:rFonts w:asciiTheme="minorHAnsi" w:hAnsiTheme="minorHAnsi"/>
          <w:sz w:val="24"/>
          <w:szCs w:val="24"/>
        </w:rPr>
        <w:t>Koszty działalności operacyjnej spółki w 2014 r. były mniejsze niż w roku 2013 o 14,86%. Spadek ten był bezpośrednim następstwem zmniejszenia przychodów z ochrony fizycznej. Wzrost pozostałych kosztów operacyjnych to rezultat odpisów należności wynikających głownie z bezskutecznej egzekucji komorniczej oraz wyksięgowania sprzedanego samochodu Fiat Panda Van. Łącznie koszty poniesione w 2014 r. były mniejsze niż te z roku 2013 o</w:t>
      </w:r>
      <w:r w:rsidR="006A206F">
        <w:rPr>
          <w:rFonts w:asciiTheme="minorHAnsi" w:hAnsiTheme="minorHAnsi"/>
          <w:sz w:val="24"/>
          <w:szCs w:val="24"/>
        </w:rPr>
        <w:t> </w:t>
      </w:r>
      <w:r w:rsidRPr="00EC2889">
        <w:rPr>
          <w:rFonts w:asciiTheme="minorHAnsi" w:hAnsiTheme="minorHAnsi"/>
          <w:sz w:val="24"/>
          <w:szCs w:val="24"/>
        </w:rPr>
        <w:t>14,53%.</w:t>
      </w:r>
    </w:p>
    <w:p w:rsidR="00EC2889" w:rsidRPr="00EC2889" w:rsidRDefault="00EC2889" w:rsidP="00EC2889">
      <w:pPr>
        <w:spacing w:after="0" w:line="240" w:lineRule="auto"/>
        <w:rPr>
          <w:rFonts w:asciiTheme="minorHAnsi" w:hAnsiTheme="minorHAnsi"/>
          <w:sz w:val="16"/>
        </w:rPr>
      </w:pPr>
    </w:p>
    <w:tbl>
      <w:tblPr>
        <w:tblW w:w="4964" w:type="pct"/>
        <w:tblInd w:w="70" w:type="dxa"/>
        <w:tblCellMar>
          <w:left w:w="70" w:type="dxa"/>
          <w:right w:w="70" w:type="dxa"/>
        </w:tblCellMar>
        <w:tblLook w:val="04A0" w:firstRow="1" w:lastRow="0" w:firstColumn="1" w:lastColumn="0" w:noHBand="0" w:noVBand="1"/>
      </w:tblPr>
      <w:tblGrid>
        <w:gridCol w:w="3818"/>
        <w:gridCol w:w="1332"/>
        <w:gridCol w:w="1332"/>
        <w:gridCol w:w="1332"/>
        <w:gridCol w:w="1332"/>
      </w:tblGrid>
      <w:tr w:rsidR="00EC2889" w:rsidRPr="00EC2889" w:rsidTr="00644E9A">
        <w:trPr>
          <w:trHeight w:val="330"/>
        </w:trPr>
        <w:tc>
          <w:tcPr>
            <w:tcW w:w="2087" w:type="pct"/>
            <w:tcBorders>
              <w:top w:val="single" w:sz="4" w:space="0" w:color="auto"/>
              <w:left w:val="single" w:sz="4" w:space="0" w:color="auto"/>
              <w:bottom w:val="nil"/>
              <w:right w:val="single" w:sz="4" w:space="0" w:color="auto"/>
            </w:tcBorders>
            <w:shd w:val="clear" w:color="000000" w:fill="C0C0C0"/>
            <w:noWrap/>
            <w:vAlign w:val="center"/>
            <w:hideMark/>
          </w:tcPr>
          <w:p w:rsidR="00EC2889" w:rsidRPr="00EC2889" w:rsidRDefault="00EC2889" w:rsidP="00644E9A">
            <w:pPr>
              <w:spacing w:after="0" w:line="240" w:lineRule="auto"/>
              <w:jc w:val="center"/>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Treść</w:t>
            </w:r>
          </w:p>
        </w:tc>
        <w:tc>
          <w:tcPr>
            <w:tcW w:w="728" w:type="pct"/>
            <w:tcBorders>
              <w:top w:val="single" w:sz="4" w:space="0" w:color="auto"/>
              <w:left w:val="nil"/>
              <w:bottom w:val="single" w:sz="4" w:space="0" w:color="auto"/>
              <w:right w:val="single" w:sz="4" w:space="0" w:color="auto"/>
            </w:tcBorders>
            <w:shd w:val="clear" w:color="000000" w:fill="C0C0C0"/>
            <w:noWrap/>
            <w:vAlign w:val="center"/>
            <w:hideMark/>
          </w:tcPr>
          <w:p w:rsidR="00EC2889" w:rsidRPr="00EC2889" w:rsidRDefault="00EC2889" w:rsidP="00644E9A">
            <w:pPr>
              <w:spacing w:after="0" w:line="240" w:lineRule="auto"/>
              <w:jc w:val="center"/>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2011</w:t>
            </w:r>
          </w:p>
        </w:tc>
        <w:tc>
          <w:tcPr>
            <w:tcW w:w="728" w:type="pct"/>
            <w:tcBorders>
              <w:top w:val="single" w:sz="4" w:space="0" w:color="auto"/>
              <w:left w:val="nil"/>
              <w:bottom w:val="single" w:sz="4" w:space="0" w:color="auto"/>
              <w:right w:val="single" w:sz="4" w:space="0" w:color="auto"/>
            </w:tcBorders>
            <w:shd w:val="clear" w:color="000000" w:fill="C0C0C0"/>
            <w:noWrap/>
            <w:vAlign w:val="center"/>
            <w:hideMark/>
          </w:tcPr>
          <w:p w:rsidR="00EC2889" w:rsidRPr="00EC2889" w:rsidRDefault="00EC2889" w:rsidP="00644E9A">
            <w:pPr>
              <w:spacing w:after="0" w:line="240" w:lineRule="auto"/>
              <w:jc w:val="center"/>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2012</w:t>
            </w:r>
          </w:p>
        </w:tc>
        <w:tc>
          <w:tcPr>
            <w:tcW w:w="728" w:type="pct"/>
            <w:tcBorders>
              <w:top w:val="single" w:sz="4" w:space="0" w:color="auto"/>
              <w:left w:val="nil"/>
              <w:bottom w:val="single" w:sz="4" w:space="0" w:color="auto"/>
              <w:right w:val="single" w:sz="4" w:space="0" w:color="auto"/>
            </w:tcBorders>
            <w:shd w:val="clear" w:color="000000" w:fill="C0C0C0"/>
            <w:noWrap/>
            <w:vAlign w:val="center"/>
            <w:hideMark/>
          </w:tcPr>
          <w:p w:rsidR="00EC2889" w:rsidRPr="00EC2889" w:rsidRDefault="00EC2889" w:rsidP="00644E9A">
            <w:pPr>
              <w:spacing w:after="0" w:line="240" w:lineRule="auto"/>
              <w:jc w:val="center"/>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2013</w:t>
            </w:r>
          </w:p>
        </w:tc>
        <w:tc>
          <w:tcPr>
            <w:tcW w:w="728" w:type="pct"/>
            <w:tcBorders>
              <w:top w:val="single" w:sz="4" w:space="0" w:color="auto"/>
              <w:left w:val="nil"/>
              <w:bottom w:val="single" w:sz="4" w:space="0" w:color="auto"/>
              <w:right w:val="single" w:sz="4" w:space="0" w:color="auto"/>
            </w:tcBorders>
            <w:shd w:val="clear" w:color="000000" w:fill="C0C0C0"/>
            <w:noWrap/>
            <w:vAlign w:val="center"/>
            <w:hideMark/>
          </w:tcPr>
          <w:p w:rsidR="00EC2889" w:rsidRPr="00EC2889" w:rsidRDefault="00EC2889" w:rsidP="00644E9A">
            <w:pPr>
              <w:spacing w:after="0" w:line="240" w:lineRule="auto"/>
              <w:jc w:val="center"/>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2014</w:t>
            </w:r>
          </w:p>
        </w:tc>
      </w:tr>
      <w:tr w:rsidR="00EC2889" w:rsidRPr="00EC2889" w:rsidTr="00967029">
        <w:trPr>
          <w:trHeight w:val="330"/>
        </w:trPr>
        <w:tc>
          <w:tcPr>
            <w:tcW w:w="208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KOSZTY DZIAŁALNOŚCI OPERACYJNEJ</w:t>
            </w:r>
          </w:p>
        </w:tc>
        <w:tc>
          <w:tcPr>
            <w:tcW w:w="728"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2 335 310,69</w:t>
            </w:r>
          </w:p>
        </w:tc>
        <w:tc>
          <w:tcPr>
            <w:tcW w:w="728"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2 258 460,60</w:t>
            </w:r>
          </w:p>
        </w:tc>
        <w:tc>
          <w:tcPr>
            <w:tcW w:w="728"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2 120 396,55</w:t>
            </w:r>
          </w:p>
        </w:tc>
        <w:tc>
          <w:tcPr>
            <w:tcW w:w="728"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1 805 287,66</w:t>
            </w:r>
          </w:p>
        </w:tc>
      </w:tr>
      <w:tr w:rsidR="00EC2889" w:rsidRPr="00EC2889" w:rsidTr="00967029">
        <w:trPr>
          <w:trHeight w:val="330"/>
        </w:trPr>
        <w:tc>
          <w:tcPr>
            <w:tcW w:w="2087" w:type="pct"/>
            <w:tcBorders>
              <w:top w:val="nil"/>
              <w:left w:val="single" w:sz="4" w:space="0" w:color="auto"/>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POZOSTAŁE KOSZTY OPERACYJNE</w:t>
            </w:r>
          </w:p>
        </w:tc>
        <w:tc>
          <w:tcPr>
            <w:tcW w:w="728"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28 961,89</w:t>
            </w:r>
          </w:p>
        </w:tc>
        <w:tc>
          <w:tcPr>
            <w:tcW w:w="728"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31 113,55</w:t>
            </w:r>
          </w:p>
        </w:tc>
        <w:tc>
          <w:tcPr>
            <w:tcW w:w="728"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18 315,45</w:t>
            </w:r>
          </w:p>
        </w:tc>
        <w:tc>
          <w:tcPr>
            <w:tcW w:w="728"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25 971,98</w:t>
            </w:r>
          </w:p>
        </w:tc>
      </w:tr>
      <w:tr w:rsidR="00EC2889" w:rsidRPr="00EC2889" w:rsidTr="00967029">
        <w:trPr>
          <w:trHeight w:val="330"/>
        </w:trPr>
        <w:tc>
          <w:tcPr>
            <w:tcW w:w="2087" w:type="pct"/>
            <w:tcBorders>
              <w:top w:val="nil"/>
              <w:left w:val="single" w:sz="4" w:space="0" w:color="auto"/>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KOSZTY FINANSOWE</w:t>
            </w:r>
          </w:p>
        </w:tc>
        <w:tc>
          <w:tcPr>
            <w:tcW w:w="728"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20,55</w:t>
            </w:r>
          </w:p>
        </w:tc>
        <w:tc>
          <w:tcPr>
            <w:tcW w:w="728"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21,35</w:t>
            </w:r>
          </w:p>
        </w:tc>
        <w:tc>
          <w:tcPr>
            <w:tcW w:w="728"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3 888,38</w:t>
            </w:r>
          </w:p>
        </w:tc>
        <w:tc>
          <w:tcPr>
            <w:tcW w:w="728"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7,66</w:t>
            </w:r>
          </w:p>
        </w:tc>
      </w:tr>
    </w:tbl>
    <w:p w:rsidR="00EC2889" w:rsidRPr="00EC2889" w:rsidRDefault="00EC2889" w:rsidP="00EC2889">
      <w:pPr>
        <w:spacing w:after="0" w:line="240" w:lineRule="auto"/>
        <w:rPr>
          <w:rFonts w:asciiTheme="minorHAnsi" w:hAnsiTheme="minorHAnsi"/>
          <w:sz w:val="20"/>
        </w:rPr>
      </w:pPr>
    </w:p>
    <w:p w:rsidR="00EC2889" w:rsidRPr="00EC2889" w:rsidRDefault="00EC2889" w:rsidP="00EC2889">
      <w:pPr>
        <w:spacing w:after="0" w:line="240" w:lineRule="auto"/>
        <w:jc w:val="both"/>
        <w:rPr>
          <w:rFonts w:asciiTheme="minorHAnsi" w:hAnsiTheme="minorHAnsi"/>
          <w:b/>
          <w:sz w:val="24"/>
        </w:rPr>
      </w:pPr>
      <w:r w:rsidRPr="00EC2889">
        <w:rPr>
          <w:rFonts w:asciiTheme="minorHAnsi" w:hAnsiTheme="minorHAnsi"/>
          <w:b/>
          <w:sz w:val="24"/>
        </w:rPr>
        <w:t>Zysk</w:t>
      </w:r>
    </w:p>
    <w:p w:rsidR="00EC2889" w:rsidRPr="00EC2889" w:rsidRDefault="00EC2889" w:rsidP="00EC2889">
      <w:pPr>
        <w:spacing w:after="0" w:line="240" w:lineRule="auto"/>
        <w:jc w:val="both"/>
        <w:rPr>
          <w:rFonts w:asciiTheme="minorHAnsi" w:hAnsiTheme="minorHAnsi"/>
          <w:b/>
          <w:sz w:val="10"/>
          <w:szCs w:val="10"/>
        </w:rPr>
      </w:pPr>
    </w:p>
    <w:p w:rsidR="00EC2889" w:rsidRDefault="00EC2889" w:rsidP="00EC2889">
      <w:pPr>
        <w:spacing w:after="0" w:line="240" w:lineRule="auto"/>
        <w:jc w:val="both"/>
        <w:rPr>
          <w:rFonts w:asciiTheme="minorHAnsi" w:hAnsiTheme="minorHAnsi"/>
          <w:sz w:val="24"/>
        </w:rPr>
      </w:pPr>
      <w:r w:rsidRPr="00EC2889">
        <w:rPr>
          <w:rFonts w:asciiTheme="minorHAnsi" w:hAnsiTheme="minorHAnsi"/>
          <w:sz w:val="24"/>
        </w:rPr>
        <w:t>Wyraźny spadek zysku netto spółki to rezultat mniejszego zysku ze sprzedaży oraz przede wszystkim dużego spadku zysku z działalności operacyjnej. Przyczyn</w:t>
      </w:r>
      <w:r w:rsidR="00FA50DE">
        <w:rPr>
          <w:rFonts w:asciiTheme="minorHAnsi" w:hAnsiTheme="minorHAnsi"/>
          <w:sz w:val="24"/>
        </w:rPr>
        <w:t>ą</w:t>
      </w:r>
      <w:r w:rsidRPr="00EC2889">
        <w:rPr>
          <w:rFonts w:asciiTheme="minorHAnsi" w:hAnsiTheme="minorHAnsi"/>
          <w:sz w:val="24"/>
        </w:rPr>
        <w:t xml:space="preserve"> tego jest zmniejszenie przychodów operacyjnych z absorpcji pomocy w ramach dofinansowania do pracowników niepełnosprawnych, mimo utrzymania w ciągu roku ilości osób kwalifikowanych, jako niepełnosprawni.</w:t>
      </w:r>
    </w:p>
    <w:p w:rsidR="008765EC" w:rsidRPr="00EC2889" w:rsidRDefault="008765EC" w:rsidP="00EC2889">
      <w:pPr>
        <w:spacing w:after="0" w:line="240" w:lineRule="auto"/>
        <w:jc w:val="both"/>
        <w:rPr>
          <w:rFonts w:asciiTheme="minorHAnsi" w:hAnsiTheme="minorHAnsi"/>
          <w:sz w:val="24"/>
        </w:rPr>
      </w:pPr>
    </w:p>
    <w:p w:rsidR="00EC2889" w:rsidRPr="00EC2889" w:rsidRDefault="00EC2889" w:rsidP="00EC2889">
      <w:pPr>
        <w:spacing w:after="0" w:line="240" w:lineRule="auto"/>
        <w:rPr>
          <w:rFonts w:asciiTheme="minorHAnsi" w:hAnsiTheme="minorHAnsi"/>
          <w:sz w:val="14"/>
        </w:rPr>
      </w:pPr>
    </w:p>
    <w:tbl>
      <w:tblPr>
        <w:tblW w:w="4964" w:type="pct"/>
        <w:tblInd w:w="70" w:type="dxa"/>
        <w:tblCellMar>
          <w:left w:w="70" w:type="dxa"/>
          <w:right w:w="70" w:type="dxa"/>
        </w:tblCellMar>
        <w:tblLook w:val="04A0" w:firstRow="1" w:lastRow="0" w:firstColumn="1" w:lastColumn="0" w:noHBand="0" w:noVBand="1"/>
      </w:tblPr>
      <w:tblGrid>
        <w:gridCol w:w="3862"/>
        <w:gridCol w:w="1303"/>
        <w:gridCol w:w="1303"/>
        <w:gridCol w:w="1339"/>
        <w:gridCol w:w="1339"/>
      </w:tblGrid>
      <w:tr w:rsidR="00EC2889" w:rsidRPr="00EC2889" w:rsidTr="00767F70">
        <w:trPr>
          <w:trHeight w:val="330"/>
        </w:trPr>
        <w:tc>
          <w:tcPr>
            <w:tcW w:w="2111" w:type="pct"/>
            <w:tcBorders>
              <w:top w:val="single" w:sz="4" w:space="0" w:color="auto"/>
              <w:left w:val="single" w:sz="4" w:space="0" w:color="auto"/>
              <w:bottom w:val="nil"/>
              <w:right w:val="single" w:sz="4" w:space="0" w:color="auto"/>
            </w:tcBorders>
            <w:shd w:val="clear" w:color="000000" w:fill="C0C0C0"/>
            <w:noWrap/>
            <w:vAlign w:val="center"/>
            <w:hideMark/>
          </w:tcPr>
          <w:p w:rsidR="00EC2889" w:rsidRPr="00EC2889" w:rsidRDefault="00EC2889" w:rsidP="00767F70">
            <w:pPr>
              <w:spacing w:after="0" w:line="240" w:lineRule="auto"/>
              <w:jc w:val="center"/>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lastRenderedPageBreak/>
              <w:t>Treść</w:t>
            </w:r>
          </w:p>
        </w:tc>
        <w:tc>
          <w:tcPr>
            <w:tcW w:w="712" w:type="pct"/>
            <w:tcBorders>
              <w:top w:val="single" w:sz="4" w:space="0" w:color="auto"/>
              <w:left w:val="nil"/>
              <w:bottom w:val="single" w:sz="4" w:space="0" w:color="auto"/>
              <w:right w:val="single" w:sz="4" w:space="0" w:color="auto"/>
            </w:tcBorders>
            <w:shd w:val="clear" w:color="000000" w:fill="C0C0C0"/>
            <w:noWrap/>
            <w:vAlign w:val="center"/>
            <w:hideMark/>
          </w:tcPr>
          <w:p w:rsidR="00EC2889" w:rsidRPr="00EC2889" w:rsidRDefault="00EC2889" w:rsidP="00767F70">
            <w:pPr>
              <w:spacing w:after="0" w:line="240" w:lineRule="auto"/>
              <w:jc w:val="center"/>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2011</w:t>
            </w:r>
          </w:p>
        </w:tc>
        <w:tc>
          <w:tcPr>
            <w:tcW w:w="712" w:type="pct"/>
            <w:tcBorders>
              <w:top w:val="single" w:sz="4" w:space="0" w:color="auto"/>
              <w:left w:val="nil"/>
              <w:bottom w:val="single" w:sz="4" w:space="0" w:color="auto"/>
              <w:right w:val="single" w:sz="4" w:space="0" w:color="auto"/>
            </w:tcBorders>
            <w:shd w:val="clear" w:color="000000" w:fill="C0C0C0"/>
            <w:noWrap/>
            <w:vAlign w:val="center"/>
            <w:hideMark/>
          </w:tcPr>
          <w:p w:rsidR="00EC2889" w:rsidRPr="00EC2889" w:rsidRDefault="00EC2889" w:rsidP="00767F70">
            <w:pPr>
              <w:spacing w:after="0" w:line="240" w:lineRule="auto"/>
              <w:jc w:val="center"/>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2012</w:t>
            </w:r>
          </w:p>
        </w:tc>
        <w:tc>
          <w:tcPr>
            <w:tcW w:w="732" w:type="pct"/>
            <w:tcBorders>
              <w:top w:val="single" w:sz="4" w:space="0" w:color="auto"/>
              <w:left w:val="nil"/>
              <w:bottom w:val="single" w:sz="4" w:space="0" w:color="auto"/>
              <w:right w:val="single" w:sz="4" w:space="0" w:color="auto"/>
            </w:tcBorders>
            <w:shd w:val="clear" w:color="000000" w:fill="C0C0C0"/>
            <w:noWrap/>
            <w:vAlign w:val="center"/>
            <w:hideMark/>
          </w:tcPr>
          <w:p w:rsidR="00EC2889" w:rsidRPr="00EC2889" w:rsidRDefault="00EC2889" w:rsidP="00767F70">
            <w:pPr>
              <w:spacing w:after="0" w:line="240" w:lineRule="auto"/>
              <w:jc w:val="center"/>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2013</w:t>
            </w:r>
          </w:p>
        </w:tc>
        <w:tc>
          <w:tcPr>
            <w:tcW w:w="732" w:type="pct"/>
            <w:tcBorders>
              <w:top w:val="single" w:sz="4" w:space="0" w:color="auto"/>
              <w:left w:val="nil"/>
              <w:bottom w:val="single" w:sz="4" w:space="0" w:color="auto"/>
              <w:right w:val="single" w:sz="4" w:space="0" w:color="auto"/>
            </w:tcBorders>
            <w:shd w:val="clear" w:color="000000" w:fill="C0C0C0"/>
            <w:noWrap/>
            <w:vAlign w:val="center"/>
            <w:hideMark/>
          </w:tcPr>
          <w:p w:rsidR="00EC2889" w:rsidRPr="00EC2889" w:rsidRDefault="00EC2889" w:rsidP="00767F70">
            <w:pPr>
              <w:spacing w:after="0" w:line="240" w:lineRule="auto"/>
              <w:jc w:val="center"/>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2014</w:t>
            </w:r>
          </w:p>
        </w:tc>
      </w:tr>
      <w:tr w:rsidR="00EC2889" w:rsidRPr="00EC2889" w:rsidTr="00967029">
        <w:trPr>
          <w:trHeight w:val="330"/>
        </w:trPr>
        <w:tc>
          <w:tcPr>
            <w:tcW w:w="211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ZYSK ZE SPRZEDAŻY</w:t>
            </w:r>
          </w:p>
        </w:tc>
        <w:tc>
          <w:tcPr>
            <w:tcW w:w="712"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-45 280,60</w:t>
            </w:r>
          </w:p>
        </w:tc>
        <w:tc>
          <w:tcPr>
            <w:tcW w:w="712"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-2 112,12</w:t>
            </w:r>
          </w:p>
        </w:tc>
        <w:tc>
          <w:tcPr>
            <w:tcW w:w="732"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-21 766,23</w:t>
            </w:r>
          </w:p>
        </w:tc>
        <w:tc>
          <w:tcPr>
            <w:tcW w:w="732"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-29 574,14</w:t>
            </w:r>
          </w:p>
        </w:tc>
      </w:tr>
      <w:tr w:rsidR="00EC2889" w:rsidRPr="00EC2889" w:rsidTr="00967029">
        <w:trPr>
          <w:trHeight w:val="330"/>
        </w:trPr>
        <w:tc>
          <w:tcPr>
            <w:tcW w:w="2111" w:type="pct"/>
            <w:tcBorders>
              <w:top w:val="nil"/>
              <w:left w:val="single" w:sz="4" w:space="0" w:color="auto"/>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ZYSK Z DZIAŁALNOŚCI OPERACYJNEJ</w:t>
            </w:r>
          </w:p>
        </w:tc>
        <w:tc>
          <w:tcPr>
            <w:tcW w:w="712"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39 936,42</w:t>
            </w:r>
          </w:p>
        </w:tc>
        <w:tc>
          <w:tcPr>
            <w:tcW w:w="712"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92 839,96</w:t>
            </w:r>
          </w:p>
        </w:tc>
        <w:tc>
          <w:tcPr>
            <w:tcW w:w="732"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59 632,28</w:t>
            </w:r>
          </w:p>
        </w:tc>
        <w:tc>
          <w:tcPr>
            <w:tcW w:w="732"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20 754,00</w:t>
            </w:r>
          </w:p>
        </w:tc>
      </w:tr>
      <w:tr w:rsidR="00EC2889" w:rsidRPr="00EC2889" w:rsidTr="00967029">
        <w:trPr>
          <w:trHeight w:val="330"/>
        </w:trPr>
        <w:tc>
          <w:tcPr>
            <w:tcW w:w="2111" w:type="pct"/>
            <w:tcBorders>
              <w:top w:val="nil"/>
              <w:left w:val="single" w:sz="4" w:space="0" w:color="auto"/>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ZYSK BRUTTO</w:t>
            </w:r>
          </w:p>
        </w:tc>
        <w:tc>
          <w:tcPr>
            <w:tcW w:w="712"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46 874,01</w:t>
            </w:r>
          </w:p>
        </w:tc>
        <w:tc>
          <w:tcPr>
            <w:tcW w:w="712"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99 961,30</w:t>
            </w:r>
          </w:p>
        </w:tc>
        <w:tc>
          <w:tcPr>
            <w:tcW w:w="732"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59 614,14</w:t>
            </w:r>
          </w:p>
        </w:tc>
        <w:tc>
          <w:tcPr>
            <w:tcW w:w="732"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24 031,61</w:t>
            </w:r>
          </w:p>
        </w:tc>
      </w:tr>
      <w:tr w:rsidR="00EC2889" w:rsidRPr="00EC2889" w:rsidTr="00967029">
        <w:trPr>
          <w:trHeight w:val="330"/>
        </w:trPr>
        <w:tc>
          <w:tcPr>
            <w:tcW w:w="2111" w:type="pct"/>
            <w:tcBorders>
              <w:top w:val="nil"/>
              <w:left w:val="single" w:sz="4" w:space="0" w:color="auto"/>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rPr>
                <w:rFonts w:asciiTheme="minorHAnsi" w:eastAsia="Times New Roman" w:hAnsiTheme="minorHAnsi" w:cs="Arial"/>
                <w:lang w:eastAsia="pl-PL"/>
              </w:rPr>
            </w:pPr>
            <w:r w:rsidRPr="00EC2889">
              <w:rPr>
                <w:rFonts w:asciiTheme="minorHAnsi" w:eastAsia="Times New Roman" w:hAnsiTheme="minorHAnsi" w:cs="Arial"/>
                <w:lang w:eastAsia="pl-PL"/>
              </w:rPr>
              <w:t>ZYSK NETTO</w:t>
            </w:r>
          </w:p>
        </w:tc>
        <w:tc>
          <w:tcPr>
            <w:tcW w:w="712"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lang w:eastAsia="pl-PL"/>
              </w:rPr>
            </w:pPr>
            <w:r w:rsidRPr="00EC2889">
              <w:rPr>
                <w:rFonts w:asciiTheme="minorHAnsi" w:eastAsia="Times New Roman" w:hAnsiTheme="minorHAnsi" w:cs="Arial"/>
                <w:lang w:eastAsia="pl-PL"/>
              </w:rPr>
              <w:t>32 911,01</w:t>
            </w:r>
          </w:p>
        </w:tc>
        <w:tc>
          <w:tcPr>
            <w:tcW w:w="712"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lang w:eastAsia="pl-PL"/>
              </w:rPr>
            </w:pPr>
            <w:r w:rsidRPr="00EC2889">
              <w:rPr>
                <w:rFonts w:asciiTheme="minorHAnsi" w:eastAsia="Times New Roman" w:hAnsiTheme="minorHAnsi" w:cs="Arial"/>
                <w:lang w:eastAsia="pl-PL"/>
              </w:rPr>
              <w:t>76 321,30</w:t>
            </w:r>
          </w:p>
        </w:tc>
        <w:tc>
          <w:tcPr>
            <w:tcW w:w="732"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lang w:eastAsia="pl-PL"/>
              </w:rPr>
            </w:pPr>
            <w:r w:rsidRPr="00EC2889">
              <w:rPr>
                <w:rFonts w:asciiTheme="minorHAnsi" w:eastAsia="Times New Roman" w:hAnsiTheme="minorHAnsi" w:cs="Arial"/>
                <w:lang w:eastAsia="pl-PL"/>
              </w:rPr>
              <w:t>46 453,14</w:t>
            </w:r>
          </w:p>
        </w:tc>
        <w:tc>
          <w:tcPr>
            <w:tcW w:w="732"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lang w:eastAsia="pl-PL"/>
              </w:rPr>
            </w:pPr>
            <w:r w:rsidRPr="00EC2889">
              <w:rPr>
                <w:rFonts w:asciiTheme="minorHAnsi" w:eastAsia="Times New Roman" w:hAnsiTheme="minorHAnsi" w:cs="Arial"/>
                <w:lang w:eastAsia="pl-PL"/>
              </w:rPr>
              <w:t>17 879,61</w:t>
            </w:r>
          </w:p>
        </w:tc>
      </w:tr>
    </w:tbl>
    <w:p w:rsidR="00EC2889" w:rsidRPr="00EC2889" w:rsidRDefault="00EC2889" w:rsidP="00EC2889">
      <w:pPr>
        <w:spacing w:after="0" w:line="240" w:lineRule="auto"/>
        <w:rPr>
          <w:rFonts w:asciiTheme="minorHAnsi" w:hAnsiTheme="minorHAnsi"/>
          <w:sz w:val="20"/>
        </w:rPr>
      </w:pPr>
    </w:p>
    <w:p w:rsidR="00EC2889" w:rsidRPr="00EC2889" w:rsidRDefault="00EC2889" w:rsidP="00EC2889">
      <w:pPr>
        <w:spacing w:after="0" w:line="240" w:lineRule="auto"/>
        <w:rPr>
          <w:rFonts w:asciiTheme="minorHAnsi" w:hAnsiTheme="minorHAnsi"/>
          <w:b/>
          <w:sz w:val="24"/>
        </w:rPr>
      </w:pPr>
      <w:r w:rsidRPr="00EC2889">
        <w:rPr>
          <w:rFonts w:asciiTheme="minorHAnsi" w:hAnsiTheme="minorHAnsi"/>
          <w:b/>
          <w:sz w:val="24"/>
        </w:rPr>
        <w:t>Kapitał</w:t>
      </w:r>
    </w:p>
    <w:p w:rsidR="00EC2889" w:rsidRPr="00EC2889" w:rsidRDefault="00EC2889" w:rsidP="00EC2889">
      <w:pPr>
        <w:spacing w:after="0" w:line="240" w:lineRule="auto"/>
        <w:rPr>
          <w:rFonts w:asciiTheme="minorHAnsi" w:hAnsiTheme="minorHAnsi"/>
          <w:b/>
          <w:sz w:val="10"/>
          <w:szCs w:val="10"/>
        </w:rPr>
      </w:pPr>
    </w:p>
    <w:p w:rsidR="00EC2889" w:rsidRPr="00EC2889" w:rsidRDefault="00EC2889" w:rsidP="00EC2889">
      <w:pPr>
        <w:spacing w:after="0" w:line="240" w:lineRule="auto"/>
        <w:jc w:val="both"/>
        <w:rPr>
          <w:rFonts w:asciiTheme="minorHAnsi" w:hAnsiTheme="minorHAnsi"/>
          <w:sz w:val="24"/>
          <w:szCs w:val="24"/>
        </w:rPr>
      </w:pPr>
      <w:r w:rsidRPr="00EC2889">
        <w:rPr>
          <w:rFonts w:asciiTheme="minorHAnsi" w:hAnsiTheme="minorHAnsi"/>
          <w:sz w:val="24"/>
          <w:szCs w:val="24"/>
        </w:rPr>
        <w:t>W 2014 r. - tak jak w roku poprzednich – kapitał podstawowy Spółki nie uległ zmianie i</w:t>
      </w:r>
      <w:r w:rsidR="006A206F">
        <w:rPr>
          <w:rFonts w:asciiTheme="minorHAnsi" w:hAnsiTheme="minorHAnsi"/>
          <w:sz w:val="24"/>
          <w:szCs w:val="24"/>
        </w:rPr>
        <w:t> </w:t>
      </w:r>
      <w:r w:rsidRPr="00EC2889">
        <w:rPr>
          <w:rFonts w:asciiTheme="minorHAnsi" w:hAnsiTheme="minorHAnsi"/>
          <w:sz w:val="24"/>
          <w:szCs w:val="24"/>
        </w:rPr>
        <w:t xml:space="preserve">wynosi 170 665 zł. Kapitał dzieli się na 319 udziałów o wartości nominalnej 535 zł każdy. Właścicielem wszystkich udziałów jest Gmina Miasto Sieradz. W 2014 r. nie odnotowano także zmian w kapitale zapasowym ZOM Sp. z o.o. </w:t>
      </w:r>
    </w:p>
    <w:p w:rsidR="00EC2889" w:rsidRPr="00EC2889" w:rsidRDefault="00EC2889" w:rsidP="00EC2889">
      <w:pPr>
        <w:spacing w:after="0" w:line="240" w:lineRule="auto"/>
        <w:jc w:val="both"/>
        <w:rPr>
          <w:rFonts w:asciiTheme="minorHAnsi" w:hAnsiTheme="minorHAnsi"/>
          <w:sz w:val="16"/>
          <w:szCs w:val="24"/>
        </w:rPr>
      </w:pPr>
    </w:p>
    <w:tbl>
      <w:tblPr>
        <w:tblW w:w="4964" w:type="pct"/>
        <w:tblInd w:w="70" w:type="dxa"/>
        <w:tblCellMar>
          <w:left w:w="70" w:type="dxa"/>
          <w:right w:w="70" w:type="dxa"/>
        </w:tblCellMar>
        <w:tblLook w:val="04A0" w:firstRow="1" w:lastRow="0" w:firstColumn="1" w:lastColumn="0" w:noHBand="0" w:noVBand="1"/>
      </w:tblPr>
      <w:tblGrid>
        <w:gridCol w:w="3686"/>
        <w:gridCol w:w="1480"/>
        <w:gridCol w:w="1302"/>
        <w:gridCol w:w="1339"/>
        <w:gridCol w:w="1339"/>
      </w:tblGrid>
      <w:tr w:rsidR="00EC2889" w:rsidRPr="00EC2889" w:rsidTr="00767F70">
        <w:trPr>
          <w:trHeight w:val="330"/>
        </w:trPr>
        <w:tc>
          <w:tcPr>
            <w:tcW w:w="2015" w:type="pct"/>
            <w:tcBorders>
              <w:top w:val="single" w:sz="4" w:space="0" w:color="auto"/>
              <w:left w:val="single" w:sz="4" w:space="0" w:color="auto"/>
              <w:bottom w:val="nil"/>
              <w:right w:val="single" w:sz="4" w:space="0" w:color="auto"/>
            </w:tcBorders>
            <w:shd w:val="clear" w:color="000000" w:fill="C0C0C0"/>
            <w:noWrap/>
            <w:vAlign w:val="center"/>
            <w:hideMark/>
          </w:tcPr>
          <w:p w:rsidR="00EC2889" w:rsidRPr="00EC2889" w:rsidRDefault="00EC2889" w:rsidP="00767F70">
            <w:pPr>
              <w:spacing w:after="0" w:line="240" w:lineRule="auto"/>
              <w:jc w:val="center"/>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Treść</w:t>
            </w:r>
          </w:p>
        </w:tc>
        <w:tc>
          <w:tcPr>
            <w:tcW w:w="809" w:type="pct"/>
            <w:tcBorders>
              <w:top w:val="single" w:sz="4" w:space="0" w:color="auto"/>
              <w:left w:val="nil"/>
              <w:bottom w:val="single" w:sz="4" w:space="0" w:color="auto"/>
              <w:right w:val="single" w:sz="4" w:space="0" w:color="auto"/>
            </w:tcBorders>
            <w:shd w:val="clear" w:color="000000" w:fill="C0C0C0"/>
            <w:noWrap/>
            <w:vAlign w:val="center"/>
            <w:hideMark/>
          </w:tcPr>
          <w:p w:rsidR="00EC2889" w:rsidRPr="00EC2889" w:rsidRDefault="00EC2889" w:rsidP="00767F70">
            <w:pPr>
              <w:spacing w:after="0" w:line="240" w:lineRule="auto"/>
              <w:jc w:val="center"/>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2011</w:t>
            </w:r>
          </w:p>
        </w:tc>
        <w:tc>
          <w:tcPr>
            <w:tcW w:w="712" w:type="pct"/>
            <w:tcBorders>
              <w:top w:val="single" w:sz="4" w:space="0" w:color="auto"/>
              <w:left w:val="nil"/>
              <w:bottom w:val="single" w:sz="4" w:space="0" w:color="auto"/>
              <w:right w:val="single" w:sz="4" w:space="0" w:color="auto"/>
            </w:tcBorders>
            <w:shd w:val="clear" w:color="000000" w:fill="C0C0C0"/>
            <w:noWrap/>
            <w:vAlign w:val="center"/>
            <w:hideMark/>
          </w:tcPr>
          <w:p w:rsidR="00EC2889" w:rsidRPr="00EC2889" w:rsidRDefault="00EC2889" w:rsidP="00767F70">
            <w:pPr>
              <w:spacing w:after="0" w:line="240" w:lineRule="auto"/>
              <w:jc w:val="center"/>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2012</w:t>
            </w:r>
          </w:p>
        </w:tc>
        <w:tc>
          <w:tcPr>
            <w:tcW w:w="732" w:type="pct"/>
            <w:tcBorders>
              <w:top w:val="single" w:sz="4" w:space="0" w:color="auto"/>
              <w:left w:val="nil"/>
              <w:bottom w:val="single" w:sz="4" w:space="0" w:color="auto"/>
              <w:right w:val="single" w:sz="4" w:space="0" w:color="auto"/>
            </w:tcBorders>
            <w:shd w:val="clear" w:color="000000" w:fill="C0C0C0"/>
            <w:noWrap/>
            <w:vAlign w:val="center"/>
            <w:hideMark/>
          </w:tcPr>
          <w:p w:rsidR="00EC2889" w:rsidRPr="00EC2889" w:rsidRDefault="00EC2889" w:rsidP="00767F70">
            <w:pPr>
              <w:spacing w:after="0" w:line="240" w:lineRule="auto"/>
              <w:jc w:val="center"/>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2013</w:t>
            </w:r>
          </w:p>
        </w:tc>
        <w:tc>
          <w:tcPr>
            <w:tcW w:w="732" w:type="pct"/>
            <w:tcBorders>
              <w:top w:val="single" w:sz="4" w:space="0" w:color="auto"/>
              <w:left w:val="nil"/>
              <w:bottom w:val="single" w:sz="4" w:space="0" w:color="auto"/>
              <w:right w:val="single" w:sz="4" w:space="0" w:color="auto"/>
            </w:tcBorders>
            <w:shd w:val="clear" w:color="000000" w:fill="C0C0C0"/>
            <w:noWrap/>
            <w:vAlign w:val="center"/>
            <w:hideMark/>
          </w:tcPr>
          <w:p w:rsidR="00EC2889" w:rsidRPr="00EC2889" w:rsidRDefault="00EC2889" w:rsidP="00767F70">
            <w:pPr>
              <w:spacing w:after="0" w:line="240" w:lineRule="auto"/>
              <w:jc w:val="center"/>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2014</w:t>
            </w:r>
          </w:p>
        </w:tc>
      </w:tr>
      <w:tr w:rsidR="00EC2889" w:rsidRPr="00EC2889" w:rsidTr="00967029">
        <w:trPr>
          <w:trHeight w:val="330"/>
        </w:trPr>
        <w:tc>
          <w:tcPr>
            <w:tcW w:w="201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KAPITAŁ PODSTAWOWY</w:t>
            </w:r>
          </w:p>
        </w:tc>
        <w:tc>
          <w:tcPr>
            <w:tcW w:w="809"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170 665,00</w:t>
            </w:r>
          </w:p>
        </w:tc>
        <w:tc>
          <w:tcPr>
            <w:tcW w:w="712"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170 665,00</w:t>
            </w:r>
          </w:p>
        </w:tc>
        <w:tc>
          <w:tcPr>
            <w:tcW w:w="732"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170 665,00</w:t>
            </w:r>
          </w:p>
        </w:tc>
        <w:tc>
          <w:tcPr>
            <w:tcW w:w="732"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b/>
                <w:bCs/>
                <w:sz w:val="20"/>
                <w:szCs w:val="20"/>
                <w:lang w:eastAsia="pl-PL"/>
              </w:rPr>
            </w:pPr>
            <w:r w:rsidRPr="00EC2889">
              <w:rPr>
                <w:rFonts w:asciiTheme="minorHAnsi" w:eastAsia="Times New Roman" w:hAnsiTheme="minorHAnsi" w:cs="Arial"/>
                <w:b/>
                <w:bCs/>
                <w:sz w:val="20"/>
                <w:szCs w:val="20"/>
                <w:lang w:eastAsia="pl-PL"/>
              </w:rPr>
              <w:t>170 665,00</w:t>
            </w:r>
          </w:p>
        </w:tc>
      </w:tr>
      <w:tr w:rsidR="00EC2889" w:rsidRPr="00EC2889" w:rsidTr="00967029">
        <w:trPr>
          <w:trHeight w:val="330"/>
        </w:trPr>
        <w:tc>
          <w:tcPr>
            <w:tcW w:w="2015" w:type="pct"/>
            <w:tcBorders>
              <w:top w:val="nil"/>
              <w:left w:val="single" w:sz="4" w:space="0" w:color="auto"/>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KAPITAŁ ZAPASOWY</w:t>
            </w:r>
          </w:p>
        </w:tc>
        <w:tc>
          <w:tcPr>
            <w:tcW w:w="809"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206 378,94</w:t>
            </w:r>
          </w:p>
        </w:tc>
        <w:tc>
          <w:tcPr>
            <w:tcW w:w="712"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206 378,94</w:t>
            </w:r>
          </w:p>
        </w:tc>
        <w:tc>
          <w:tcPr>
            <w:tcW w:w="732"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222 700,24</w:t>
            </w:r>
          </w:p>
        </w:tc>
        <w:tc>
          <w:tcPr>
            <w:tcW w:w="732"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222 700,24</w:t>
            </w:r>
          </w:p>
        </w:tc>
      </w:tr>
      <w:tr w:rsidR="00EC2889" w:rsidRPr="00EC2889" w:rsidTr="00967029">
        <w:trPr>
          <w:trHeight w:val="330"/>
        </w:trPr>
        <w:tc>
          <w:tcPr>
            <w:tcW w:w="2015" w:type="pct"/>
            <w:tcBorders>
              <w:top w:val="nil"/>
              <w:left w:val="single" w:sz="4" w:space="0" w:color="auto"/>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KAPITAŁ REZERWOWY</w:t>
            </w:r>
          </w:p>
        </w:tc>
        <w:tc>
          <w:tcPr>
            <w:tcW w:w="809"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0,00</w:t>
            </w:r>
          </w:p>
        </w:tc>
        <w:tc>
          <w:tcPr>
            <w:tcW w:w="712"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0,00</w:t>
            </w:r>
          </w:p>
        </w:tc>
        <w:tc>
          <w:tcPr>
            <w:tcW w:w="732"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0,00</w:t>
            </w:r>
          </w:p>
        </w:tc>
        <w:tc>
          <w:tcPr>
            <w:tcW w:w="732" w:type="pct"/>
            <w:tcBorders>
              <w:top w:val="nil"/>
              <w:left w:val="nil"/>
              <w:bottom w:val="single" w:sz="4" w:space="0" w:color="auto"/>
              <w:right w:val="single" w:sz="4" w:space="0" w:color="auto"/>
            </w:tcBorders>
            <w:shd w:val="clear" w:color="auto" w:fill="auto"/>
            <w:noWrap/>
            <w:vAlign w:val="center"/>
            <w:hideMark/>
          </w:tcPr>
          <w:p w:rsidR="00EC2889" w:rsidRPr="00EC2889" w:rsidRDefault="00EC2889" w:rsidP="00967029">
            <w:pPr>
              <w:spacing w:after="0" w:line="240" w:lineRule="auto"/>
              <w:jc w:val="right"/>
              <w:rPr>
                <w:rFonts w:asciiTheme="minorHAnsi" w:eastAsia="Times New Roman" w:hAnsiTheme="minorHAnsi" w:cs="Arial"/>
                <w:sz w:val="20"/>
                <w:szCs w:val="20"/>
                <w:lang w:eastAsia="pl-PL"/>
              </w:rPr>
            </w:pPr>
            <w:r w:rsidRPr="00EC2889">
              <w:rPr>
                <w:rFonts w:asciiTheme="minorHAnsi" w:eastAsia="Times New Roman" w:hAnsiTheme="minorHAnsi" w:cs="Arial"/>
                <w:sz w:val="20"/>
                <w:szCs w:val="20"/>
                <w:lang w:eastAsia="pl-PL"/>
              </w:rPr>
              <w:t>0,00</w:t>
            </w:r>
          </w:p>
        </w:tc>
      </w:tr>
    </w:tbl>
    <w:p w:rsidR="00392501" w:rsidRPr="00BD17D6" w:rsidRDefault="00392501" w:rsidP="00392501">
      <w:pPr>
        <w:pStyle w:val="Bezodstpw"/>
        <w:rPr>
          <w:rFonts w:asciiTheme="minorHAnsi" w:hAnsiTheme="minorHAnsi"/>
          <w:sz w:val="24"/>
        </w:rPr>
      </w:pPr>
    </w:p>
    <w:p w:rsidR="00392501" w:rsidRPr="00BD17D6" w:rsidRDefault="00392501" w:rsidP="00392501">
      <w:pPr>
        <w:pStyle w:val="Bezodstpw"/>
        <w:rPr>
          <w:rFonts w:asciiTheme="minorHAnsi" w:hAnsiTheme="minorHAnsi"/>
          <w:b/>
          <w:sz w:val="24"/>
        </w:rPr>
      </w:pPr>
      <w:r w:rsidRPr="00EA2FF3">
        <w:rPr>
          <w:rFonts w:asciiTheme="minorHAnsi" w:hAnsiTheme="minorHAnsi"/>
          <w:b/>
          <w:sz w:val="24"/>
        </w:rPr>
        <w:t>Podsumowanie</w:t>
      </w:r>
    </w:p>
    <w:p w:rsidR="0049793D" w:rsidRPr="00BD17D6" w:rsidRDefault="0049793D" w:rsidP="0049793D">
      <w:pPr>
        <w:pStyle w:val="Bezodstpw"/>
        <w:jc w:val="both"/>
        <w:rPr>
          <w:rFonts w:asciiTheme="minorHAnsi" w:hAnsiTheme="minorHAnsi"/>
          <w:sz w:val="24"/>
          <w:szCs w:val="24"/>
        </w:rPr>
      </w:pPr>
      <w:r w:rsidRPr="00BD17D6">
        <w:rPr>
          <w:rFonts w:asciiTheme="minorHAnsi" w:hAnsiTheme="minorHAnsi"/>
          <w:sz w:val="24"/>
          <w:szCs w:val="24"/>
        </w:rPr>
        <w:t xml:space="preserve">Zgromadzenie Wspólników zatwierdziło sprawozdania finansowe Spółki oraz udzieliło absolutorium Zarządowi </w:t>
      </w:r>
      <w:r w:rsidR="004D0DA4" w:rsidRPr="00BD17D6">
        <w:rPr>
          <w:rFonts w:asciiTheme="minorHAnsi" w:hAnsiTheme="minorHAnsi"/>
          <w:sz w:val="24"/>
          <w:szCs w:val="24"/>
        </w:rPr>
        <w:t>Spółki i</w:t>
      </w:r>
      <w:r w:rsidRPr="00BD17D6">
        <w:rPr>
          <w:rFonts w:asciiTheme="minorHAnsi" w:hAnsiTheme="minorHAnsi"/>
          <w:sz w:val="24"/>
          <w:szCs w:val="24"/>
        </w:rPr>
        <w:t xml:space="preserve"> Radzie Nadzorczej. Podjęto także uchwałę o </w:t>
      </w:r>
      <w:r w:rsidR="00D81390" w:rsidRPr="00BD17D6">
        <w:rPr>
          <w:rFonts w:asciiTheme="minorHAnsi" w:hAnsiTheme="minorHAnsi"/>
          <w:sz w:val="24"/>
          <w:szCs w:val="24"/>
        </w:rPr>
        <w:t>podziale zysku</w:t>
      </w:r>
      <w:r w:rsidR="00E93D11">
        <w:rPr>
          <w:rFonts w:asciiTheme="minorHAnsi" w:hAnsiTheme="minorHAnsi"/>
          <w:sz w:val="24"/>
          <w:szCs w:val="24"/>
        </w:rPr>
        <w:t xml:space="preserve"> – osiągnięty w 2014 r. zysk netto</w:t>
      </w:r>
      <w:r w:rsidR="006A206F">
        <w:rPr>
          <w:rFonts w:asciiTheme="minorHAnsi" w:hAnsiTheme="minorHAnsi"/>
          <w:sz w:val="24"/>
          <w:szCs w:val="24"/>
        </w:rPr>
        <w:t>,</w:t>
      </w:r>
      <w:r w:rsidR="00E93D11">
        <w:rPr>
          <w:rFonts w:asciiTheme="minorHAnsi" w:hAnsiTheme="minorHAnsi"/>
          <w:sz w:val="24"/>
          <w:szCs w:val="24"/>
        </w:rPr>
        <w:t xml:space="preserve"> w wysokości 17 879,61 zł</w:t>
      </w:r>
      <w:r w:rsidR="006A206F">
        <w:rPr>
          <w:rFonts w:asciiTheme="minorHAnsi" w:hAnsiTheme="minorHAnsi"/>
          <w:sz w:val="24"/>
          <w:szCs w:val="24"/>
        </w:rPr>
        <w:t>,</w:t>
      </w:r>
      <w:r w:rsidR="00E93D11">
        <w:rPr>
          <w:rFonts w:asciiTheme="minorHAnsi" w:hAnsiTheme="minorHAnsi"/>
          <w:sz w:val="24"/>
          <w:szCs w:val="24"/>
        </w:rPr>
        <w:t xml:space="preserve"> został w całości przeznaczony na </w:t>
      </w:r>
      <w:r w:rsidR="00D81390" w:rsidRPr="00BD17D6">
        <w:rPr>
          <w:rFonts w:asciiTheme="minorHAnsi" w:hAnsiTheme="minorHAnsi"/>
          <w:sz w:val="24"/>
          <w:szCs w:val="24"/>
        </w:rPr>
        <w:t>zakładowy fundusz świadczeń socjalnych.</w:t>
      </w:r>
    </w:p>
    <w:p w:rsidR="00684733" w:rsidRPr="00BD17D6" w:rsidRDefault="00684733" w:rsidP="0049793D">
      <w:pPr>
        <w:pStyle w:val="Bezodstpw"/>
        <w:jc w:val="both"/>
        <w:rPr>
          <w:rFonts w:asciiTheme="minorHAnsi" w:hAnsiTheme="minorHAnsi"/>
          <w:sz w:val="24"/>
          <w:szCs w:val="24"/>
        </w:rPr>
      </w:pPr>
    </w:p>
    <w:p w:rsidR="00684733" w:rsidRDefault="00684733" w:rsidP="0049793D">
      <w:pPr>
        <w:pStyle w:val="Bezodstpw"/>
        <w:jc w:val="both"/>
        <w:rPr>
          <w:rFonts w:asciiTheme="minorHAnsi" w:hAnsiTheme="minorHAnsi"/>
          <w:sz w:val="24"/>
          <w:szCs w:val="24"/>
        </w:rPr>
      </w:pPr>
      <w:r w:rsidRPr="00BD17D6">
        <w:rPr>
          <w:rFonts w:asciiTheme="minorHAnsi" w:hAnsiTheme="minorHAnsi"/>
          <w:sz w:val="24"/>
          <w:szCs w:val="24"/>
        </w:rPr>
        <w:t xml:space="preserve">Sieradz </w:t>
      </w:r>
      <w:r w:rsidR="00EC2889" w:rsidRPr="00BD17D6">
        <w:rPr>
          <w:rFonts w:asciiTheme="minorHAnsi" w:hAnsiTheme="minorHAnsi"/>
          <w:sz w:val="24"/>
          <w:szCs w:val="24"/>
        </w:rPr>
        <w:t>0</w:t>
      </w:r>
      <w:r w:rsidR="006A206F">
        <w:rPr>
          <w:rFonts w:asciiTheme="minorHAnsi" w:hAnsiTheme="minorHAnsi"/>
          <w:sz w:val="24"/>
          <w:szCs w:val="24"/>
        </w:rPr>
        <w:t>7</w:t>
      </w:r>
      <w:r w:rsidRPr="00BD17D6">
        <w:rPr>
          <w:rFonts w:asciiTheme="minorHAnsi" w:hAnsiTheme="minorHAnsi"/>
          <w:sz w:val="24"/>
          <w:szCs w:val="24"/>
        </w:rPr>
        <w:t>.08.201</w:t>
      </w:r>
      <w:r w:rsidR="00EA2FF3">
        <w:rPr>
          <w:rFonts w:asciiTheme="minorHAnsi" w:hAnsiTheme="minorHAnsi"/>
          <w:sz w:val="24"/>
          <w:szCs w:val="24"/>
        </w:rPr>
        <w:t>5</w:t>
      </w:r>
      <w:r w:rsidRPr="00BD17D6">
        <w:rPr>
          <w:rFonts w:asciiTheme="minorHAnsi" w:hAnsiTheme="minorHAnsi"/>
          <w:sz w:val="24"/>
          <w:szCs w:val="24"/>
        </w:rPr>
        <w:t xml:space="preserve"> r.</w:t>
      </w:r>
    </w:p>
    <w:p w:rsidR="00E46B5F" w:rsidRDefault="00E46B5F" w:rsidP="0049793D">
      <w:pPr>
        <w:pStyle w:val="Bezodstpw"/>
        <w:jc w:val="both"/>
        <w:rPr>
          <w:rFonts w:asciiTheme="minorHAnsi" w:hAnsiTheme="minorHAnsi"/>
          <w:sz w:val="24"/>
          <w:szCs w:val="24"/>
        </w:rPr>
      </w:pPr>
      <w:r>
        <w:rPr>
          <w:rFonts w:asciiTheme="minorHAnsi" w:hAnsiTheme="minorHAnsi"/>
          <w:sz w:val="24"/>
          <w:szCs w:val="24"/>
        </w:rPr>
        <w:t>Kierownik Biura Audytu i Kontroli</w:t>
      </w:r>
    </w:p>
    <w:p w:rsidR="00E46B5F" w:rsidRPr="00BD17D6" w:rsidRDefault="00E46B5F" w:rsidP="0049793D">
      <w:pPr>
        <w:pStyle w:val="Bezodstpw"/>
        <w:jc w:val="both"/>
        <w:rPr>
          <w:rFonts w:asciiTheme="minorHAnsi" w:hAnsiTheme="minorHAnsi"/>
          <w:b/>
          <w:sz w:val="24"/>
          <w:szCs w:val="24"/>
        </w:rPr>
      </w:pPr>
      <w:r>
        <w:rPr>
          <w:rFonts w:asciiTheme="minorHAnsi" w:hAnsiTheme="minorHAnsi"/>
          <w:sz w:val="24"/>
          <w:szCs w:val="24"/>
        </w:rPr>
        <w:t xml:space="preserve">Grażyna </w:t>
      </w:r>
      <w:proofErr w:type="spellStart"/>
      <w:r>
        <w:rPr>
          <w:rFonts w:asciiTheme="minorHAnsi" w:hAnsiTheme="minorHAnsi"/>
          <w:sz w:val="24"/>
          <w:szCs w:val="24"/>
        </w:rPr>
        <w:t>Sut</w:t>
      </w:r>
      <w:bookmarkStart w:id="0" w:name="_GoBack"/>
      <w:bookmarkEnd w:id="0"/>
      <w:proofErr w:type="spellEnd"/>
    </w:p>
    <w:sectPr w:rsidR="00E46B5F" w:rsidRPr="00BD17D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20D" w:rsidRDefault="0030120D" w:rsidP="00E40465">
      <w:pPr>
        <w:spacing w:after="0" w:line="240" w:lineRule="auto"/>
      </w:pPr>
      <w:r>
        <w:separator/>
      </w:r>
    </w:p>
  </w:endnote>
  <w:endnote w:type="continuationSeparator" w:id="0">
    <w:p w:rsidR="0030120D" w:rsidRDefault="0030120D" w:rsidP="00E40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CE">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5712544"/>
      <w:docPartObj>
        <w:docPartGallery w:val="Page Numbers (Bottom of Page)"/>
        <w:docPartUnique/>
      </w:docPartObj>
    </w:sdtPr>
    <w:sdtEndPr/>
    <w:sdtContent>
      <w:p w:rsidR="0030120D" w:rsidRDefault="0030120D">
        <w:pPr>
          <w:pStyle w:val="Stopka"/>
          <w:jc w:val="center"/>
        </w:pPr>
        <w:r>
          <w:fldChar w:fldCharType="begin"/>
        </w:r>
        <w:r>
          <w:instrText>PAGE   \* MERGEFORMAT</w:instrText>
        </w:r>
        <w:r>
          <w:fldChar w:fldCharType="separate"/>
        </w:r>
        <w:r w:rsidR="00E46B5F">
          <w:rPr>
            <w:noProof/>
          </w:rPr>
          <w:t>11</w:t>
        </w:r>
        <w:r>
          <w:fldChar w:fldCharType="end"/>
        </w:r>
      </w:p>
    </w:sdtContent>
  </w:sdt>
  <w:p w:rsidR="0030120D" w:rsidRDefault="0030120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20D" w:rsidRDefault="0030120D" w:rsidP="00E40465">
      <w:pPr>
        <w:spacing w:after="0" w:line="240" w:lineRule="auto"/>
      </w:pPr>
      <w:r>
        <w:separator/>
      </w:r>
    </w:p>
  </w:footnote>
  <w:footnote w:type="continuationSeparator" w:id="0">
    <w:p w:rsidR="0030120D" w:rsidRDefault="0030120D" w:rsidP="00E40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0290F"/>
    <w:multiLevelType w:val="hybridMultilevel"/>
    <w:tmpl w:val="B79A379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D577109"/>
    <w:multiLevelType w:val="hybridMultilevel"/>
    <w:tmpl w:val="8432EE1E"/>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nsid w:val="19451F51"/>
    <w:multiLevelType w:val="hybridMultilevel"/>
    <w:tmpl w:val="48D2231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D8211E3"/>
    <w:multiLevelType w:val="hybridMultilevel"/>
    <w:tmpl w:val="ED44118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nsid w:val="5111371F"/>
    <w:multiLevelType w:val="hybridMultilevel"/>
    <w:tmpl w:val="A42EE06E"/>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5FB60D27"/>
    <w:multiLevelType w:val="hybridMultilevel"/>
    <w:tmpl w:val="79BA71F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66510738"/>
    <w:multiLevelType w:val="hybridMultilevel"/>
    <w:tmpl w:val="22C42B3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7B9A0D87"/>
    <w:multiLevelType w:val="hybridMultilevel"/>
    <w:tmpl w:val="410612E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4"/>
  </w:num>
  <w:num w:numId="6">
    <w:abstractNumId w:val="7"/>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A7B"/>
    <w:rsid w:val="00050CC5"/>
    <w:rsid w:val="000949B7"/>
    <w:rsid w:val="000A41E2"/>
    <w:rsid w:val="000A543B"/>
    <w:rsid w:val="000E71DD"/>
    <w:rsid w:val="00121F58"/>
    <w:rsid w:val="001512FC"/>
    <w:rsid w:val="001958EC"/>
    <w:rsid w:val="001B05C6"/>
    <w:rsid w:val="00204D2D"/>
    <w:rsid w:val="0021345C"/>
    <w:rsid w:val="002437D3"/>
    <w:rsid w:val="00251A8B"/>
    <w:rsid w:val="0026298E"/>
    <w:rsid w:val="00286308"/>
    <w:rsid w:val="0030120D"/>
    <w:rsid w:val="003243E2"/>
    <w:rsid w:val="00337628"/>
    <w:rsid w:val="00385AF3"/>
    <w:rsid w:val="00392501"/>
    <w:rsid w:val="003C68DF"/>
    <w:rsid w:val="003E6B74"/>
    <w:rsid w:val="00477DFB"/>
    <w:rsid w:val="00496B9F"/>
    <w:rsid w:val="0049793D"/>
    <w:rsid w:val="004B578C"/>
    <w:rsid w:val="004D0DA4"/>
    <w:rsid w:val="005155C7"/>
    <w:rsid w:val="005527B3"/>
    <w:rsid w:val="00597FEC"/>
    <w:rsid w:val="006358E6"/>
    <w:rsid w:val="00643247"/>
    <w:rsid w:val="00644E9A"/>
    <w:rsid w:val="006452E9"/>
    <w:rsid w:val="006749EC"/>
    <w:rsid w:val="00684733"/>
    <w:rsid w:val="006A206F"/>
    <w:rsid w:val="007604AD"/>
    <w:rsid w:val="00767F70"/>
    <w:rsid w:val="007922FC"/>
    <w:rsid w:val="008765EC"/>
    <w:rsid w:val="008A1A77"/>
    <w:rsid w:val="008A41D4"/>
    <w:rsid w:val="008B2091"/>
    <w:rsid w:val="008C654C"/>
    <w:rsid w:val="00934D77"/>
    <w:rsid w:val="00967029"/>
    <w:rsid w:val="009E4B3D"/>
    <w:rsid w:val="00A12164"/>
    <w:rsid w:val="00A2058D"/>
    <w:rsid w:val="00A504A7"/>
    <w:rsid w:val="00A8394D"/>
    <w:rsid w:val="00AB4510"/>
    <w:rsid w:val="00AC427A"/>
    <w:rsid w:val="00AF57BD"/>
    <w:rsid w:val="00B00B38"/>
    <w:rsid w:val="00BD17D6"/>
    <w:rsid w:val="00C03091"/>
    <w:rsid w:val="00C45DC2"/>
    <w:rsid w:val="00D45E0E"/>
    <w:rsid w:val="00D81390"/>
    <w:rsid w:val="00D97811"/>
    <w:rsid w:val="00E40465"/>
    <w:rsid w:val="00E46B5F"/>
    <w:rsid w:val="00E53827"/>
    <w:rsid w:val="00E8066D"/>
    <w:rsid w:val="00E93D11"/>
    <w:rsid w:val="00EA2FF3"/>
    <w:rsid w:val="00EC2889"/>
    <w:rsid w:val="00EE26EF"/>
    <w:rsid w:val="00F0281F"/>
    <w:rsid w:val="00F1492B"/>
    <w:rsid w:val="00F71A7B"/>
    <w:rsid w:val="00FA4494"/>
    <w:rsid w:val="00FA50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52E9"/>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6452E9"/>
    <w:pPr>
      <w:spacing w:after="0" w:line="240" w:lineRule="auto"/>
    </w:pPr>
    <w:rPr>
      <w:rFonts w:ascii="Calibri" w:eastAsia="Calibri" w:hAnsi="Calibri" w:cs="Times New Roman"/>
    </w:rPr>
  </w:style>
  <w:style w:type="paragraph" w:styleId="Nagwek">
    <w:name w:val="header"/>
    <w:basedOn w:val="Normalny"/>
    <w:link w:val="NagwekZnak"/>
    <w:uiPriority w:val="99"/>
    <w:unhideWhenUsed/>
    <w:rsid w:val="00E4046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0465"/>
    <w:rPr>
      <w:rFonts w:ascii="Calibri" w:eastAsia="Calibri" w:hAnsi="Calibri" w:cs="Times New Roman"/>
    </w:rPr>
  </w:style>
  <w:style w:type="paragraph" w:styleId="Stopka">
    <w:name w:val="footer"/>
    <w:basedOn w:val="Normalny"/>
    <w:link w:val="StopkaZnak"/>
    <w:uiPriority w:val="99"/>
    <w:unhideWhenUsed/>
    <w:rsid w:val="00E4046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0465"/>
    <w:rPr>
      <w:rFonts w:ascii="Calibri" w:eastAsia="Calibri" w:hAnsi="Calibri" w:cs="Times New Roman"/>
    </w:rPr>
  </w:style>
  <w:style w:type="paragraph" w:styleId="Tekstdymka">
    <w:name w:val="Balloon Text"/>
    <w:basedOn w:val="Normalny"/>
    <w:link w:val="TekstdymkaZnak"/>
    <w:uiPriority w:val="99"/>
    <w:semiHidden/>
    <w:unhideWhenUsed/>
    <w:rsid w:val="0030120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0120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52E9"/>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6452E9"/>
    <w:pPr>
      <w:spacing w:after="0" w:line="240" w:lineRule="auto"/>
    </w:pPr>
    <w:rPr>
      <w:rFonts w:ascii="Calibri" w:eastAsia="Calibri" w:hAnsi="Calibri" w:cs="Times New Roman"/>
    </w:rPr>
  </w:style>
  <w:style w:type="paragraph" w:styleId="Nagwek">
    <w:name w:val="header"/>
    <w:basedOn w:val="Normalny"/>
    <w:link w:val="NagwekZnak"/>
    <w:uiPriority w:val="99"/>
    <w:unhideWhenUsed/>
    <w:rsid w:val="00E4046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0465"/>
    <w:rPr>
      <w:rFonts w:ascii="Calibri" w:eastAsia="Calibri" w:hAnsi="Calibri" w:cs="Times New Roman"/>
    </w:rPr>
  </w:style>
  <w:style w:type="paragraph" w:styleId="Stopka">
    <w:name w:val="footer"/>
    <w:basedOn w:val="Normalny"/>
    <w:link w:val="StopkaZnak"/>
    <w:uiPriority w:val="99"/>
    <w:unhideWhenUsed/>
    <w:rsid w:val="00E4046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0465"/>
    <w:rPr>
      <w:rFonts w:ascii="Calibri" w:eastAsia="Calibri" w:hAnsi="Calibri" w:cs="Times New Roman"/>
    </w:rPr>
  </w:style>
  <w:style w:type="paragraph" w:styleId="Tekstdymka">
    <w:name w:val="Balloon Text"/>
    <w:basedOn w:val="Normalny"/>
    <w:link w:val="TekstdymkaZnak"/>
    <w:uiPriority w:val="99"/>
    <w:semiHidden/>
    <w:unhideWhenUsed/>
    <w:rsid w:val="0030120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0120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932745">
      <w:bodyDiv w:val="1"/>
      <w:marLeft w:val="0"/>
      <w:marRight w:val="0"/>
      <w:marTop w:val="0"/>
      <w:marBottom w:val="0"/>
      <w:divBdr>
        <w:top w:val="none" w:sz="0" w:space="0" w:color="auto"/>
        <w:left w:val="none" w:sz="0" w:space="0" w:color="auto"/>
        <w:bottom w:val="none" w:sz="0" w:space="0" w:color="auto"/>
        <w:right w:val="none" w:sz="0" w:space="0" w:color="auto"/>
      </w:divBdr>
    </w:div>
    <w:div w:id="487792836">
      <w:bodyDiv w:val="1"/>
      <w:marLeft w:val="0"/>
      <w:marRight w:val="0"/>
      <w:marTop w:val="0"/>
      <w:marBottom w:val="0"/>
      <w:divBdr>
        <w:top w:val="none" w:sz="0" w:space="0" w:color="auto"/>
        <w:left w:val="none" w:sz="0" w:space="0" w:color="auto"/>
        <w:bottom w:val="none" w:sz="0" w:space="0" w:color="auto"/>
        <w:right w:val="none" w:sz="0" w:space="0" w:color="auto"/>
      </w:divBdr>
    </w:div>
    <w:div w:id="651059650">
      <w:bodyDiv w:val="1"/>
      <w:marLeft w:val="0"/>
      <w:marRight w:val="0"/>
      <w:marTop w:val="0"/>
      <w:marBottom w:val="0"/>
      <w:divBdr>
        <w:top w:val="none" w:sz="0" w:space="0" w:color="auto"/>
        <w:left w:val="none" w:sz="0" w:space="0" w:color="auto"/>
        <w:bottom w:val="none" w:sz="0" w:space="0" w:color="auto"/>
        <w:right w:val="none" w:sz="0" w:space="0" w:color="auto"/>
      </w:divBdr>
    </w:div>
    <w:div w:id="1296908147">
      <w:bodyDiv w:val="1"/>
      <w:marLeft w:val="0"/>
      <w:marRight w:val="0"/>
      <w:marTop w:val="0"/>
      <w:marBottom w:val="0"/>
      <w:divBdr>
        <w:top w:val="none" w:sz="0" w:space="0" w:color="auto"/>
        <w:left w:val="none" w:sz="0" w:space="0" w:color="auto"/>
        <w:bottom w:val="none" w:sz="0" w:space="0" w:color="auto"/>
        <w:right w:val="none" w:sz="0" w:space="0" w:color="auto"/>
      </w:divBdr>
    </w:div>
    <w:div w:id="1804958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1554A-A7D4-4728-8E39-BBA442773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1012</TotalTime>
  <Pages>11</Pages>
  <Words>3766</Words>
  <Characters>22600</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Grażyna Sut</dc:creator>
  <cp:keywords/>
  <dc:description/>
  <cp:lastModifiedBy>Grażyna Sut</cp:lastModifiedBy>
  <cp:revision>35</cp:revision>
  <cp:lastPrinted>2015-09-02T06:33:00Z</cp:lastPrinted>
  <dcterms:created xsi:type="dcterms:W3CDTF">2014-08-05T10:41:00Z</dcterms:created>
  <dcterms:modified xsi:type="dcterms:W3CDTF">2015-09-02T10:49:00Z</dcterms:modified>
</cp:coreProperties>
</file>